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0687C" w14:textId="41D13F02" w:rsidR="0320F0AF" w:rsidRDefault="0320F0AF" w:rsidP="0320F0AF">
      <w:pPr>
        <w:spacing w:line="480" w:lineRule="auto"/>
        <w:jc w:val="center"/>
        <w:rPr>
          <w:rFonts w:ascii="Times New Roman" w:eastAsia="Times New Roman" w:hAnsi="Times New Roman" w:cs="Times New Roman"/>
          <w:b/>
          <w:bCs/>
          <w:sz w:val="24"/>
          <w:szCs w:val="24"/>
        </w:rPr>
      </w:pPr>
    </w:p>
    <w:p w14:paraId="4376327E" w14:textId="13C68331" w:rsidR="0320F0AF" w:rsidRDefault="0320F0AF" w:rsidP="0320F0AF">
      <w:pPr>
        <w:spacing w:line="480" w:lineRule="auto"/>
        <w:jc w:val="center"/>
        <w:rPr>
          <w:rFonts w:ascii="Times New Roman" w:eastAsia="Times New Roman" w:hAnsi="Times New Roman" w:cs="Times New Roman"/>
          <w:b/>
          <w:bCs/>
          <w:sz w:val="24"/>
          <w:szCs w:val="24"/>
        </w:rPr>
      </w:pPr>
    </w:p>
    <w:p w14:paraId="7CDC5D4E" w14:textId="1E972356" w:rsidR="0320F0AF" w:rsidRDefault="0320F0AF" w:rsidP="0320F0AF">
      <w:pPr>
        <w:spacing w:line="480" w:lineRule="auto"/>
        <w:jc w:val="center"/>
        <w:rPr>
          <w:rFonts w:ascii="Times New Roman" w:eastAsia="Times New Roman" w:hAnsi="Times New Roman" w:cs="Times New Roman"/>
          <w:b/>
          <w:bCs/>
          <w:sz w:val="24"/>
          <w:szCs w:val="24"/>
        </w:rPr>
      </w:pPr>
    </w:p>
    <w:p w14:paraId="4B5F640C" w14:textId="57A7F149" w:rsidR="0320F0AF" w:rsidRDefault="0320F0AF" w:rsidP="0320F0AF">
      <w:pPr>
        <w:spacing w:line="480" w:lineRule="auto"/>
        <w:jc w:val="center"/>
        <w:rPr>
          <w:rFonts w:ascii="Times New Roman" w:eastAsia="Times New Roman" w:hAnsi="Times New Roman" w:cs="Times New Roman"/>
          <w:b/>
          <w:bCs/>
          <w:sz w:val="24"/>
          <w:szCs w:val="24"/>
        </w:rPr>
      </w:pPr>
    </w:p>
    <w:p w14:paraId="00000009" w14:textId="015A9218" w:rsidR="00C817CC" w:rsidRPr="00E16670" w:rsidRDefault="20E1A32F" w:rsidP="0320F0AF">
      <w:pPr>
        <w:spacing w:line="480" w:lineRule="auto"/>
        <w:contextualSpacing/>
        <w:jc w:val="center"/>
        <w:rPr>
          <w:rFonts w:ascii="Times New Roman" w:eastAsia="Times New Roman" w:hAnsi="Times New Roman" w:cs="Times New Roman"/>
          <w:b/>
          <w:bCs/>
          <w:sz w:val="24"/>
          <w:szCs w:val="24"/>
        </w:rPr>
      </w:pPr>
      <w:r w:rsidRPr="0320F0AF">
        <w:rPr>
          <w:rFonts w:ascii="Times New Roman" w:eastAsia="Times New Roman" w:hAnsi="Times New Roman" w:cs="Times New Roman"/>
          <w:b/>
          <w:bCs/>
          <w:sz w:val="24"/>
          <w:szCs w:val="24"/>
        </w:rPr>
        <w:t>Intra</w:t>
      </w:r>
      <w:r w:rsidR="284C6F00" w:rsidRPr="0320F0AF">
        <w:rPr>
          <w:rFonts w:ascii="Times New Roman" w:eastAsia="Times New Roman" w:hAnsi="Times New Roman" w:cs="Times New Roman"/>
          <w:b/>
          <w:bCs/>
          <w:sz w:val="24"/>
          <w:szCs w:val="24"/>
        </w:rPr>
        <w:t>operative Intra</w:t>
      </w:r>
      <w:r w:rsidRPr="0320F0AF">
        <w:rPr>
          <w:rFonts w:ascii="Times New Roman" w:eastAsia="Times New Roman" w:hAnsi="Times New Roman" w:cs="Times New Roman"/>
          <w:b/>
          <w:bCs/>
          <w:sz w:val="24"/>
          <w:szCs w:val="24"/>
        </w:rPr>
        <w:t>venous Methadone in Adult Surgical Patients: An Integrative Review</w:t>
      </w:r>
    </w:p>
    <w:p w14:paraId="0000000A" w14:textId="77777777" w:rsidR="00C817CC" w:rsidRPr="00E16670" w:rsidRDefault="00C817CC" w:rsidP="1CF5E637">
      <w:pPr>
        <w:spacing w:line="480" w:lineRule="auto"/>
        <w:contextualSpacing/>
        <w:jc w:val="center"/>
        <w:rPr>
          <w:rFonts w:ascii="Times New Roman" w:eastAsia="Times New Roman" w:hAnsi="Times New Roman" w:cs="Times New Roman"/>
          <w:b/>
          <w:bCs/>
          <w:sz w:val="24"/>
          <w:szCs w:val="24"/>
        </w:rPr>
      </w:pPr>
    </w:p>
    <w:p w14:paraId="0000000B" w14:textId="77777777" w:rsidR="00C817CC" w:rsidRPr="00E16670" w:rsidRDefault="00A963B7" w:rsidP="1CF5E637">
      <w:pPr>
        <w:spacing w:line="480" w:lineRule="auto"/>
        <w:contextualSpacing/>
        <w:jc w:val="center"/>
        <w:rPr>
          <w:rFonts w:ascii="Times New Roman" w:eastAsia="Times New Roman" w:hAnsi="Times New Roman" w:cs="Times New Roman"/>
          <w:sz w:val="24"/>
          <w:szCs w:val="24"/>
        </w:rPr>
      </w:pPr>
      <w:r w:rsidRPr="1CF5E637">
        <w:rPr>
          <w:rFonts w:ascii="Times New Roman" w:eastAsia="Times New Roman" w:hAnsi="Times New Roman" w:cs="Times New Roman"/>
          <w:sz w:val="24"/>
          <w:szCs w:val="24"/>
        </w:rPr>
        <w:t>Johanna Bennett and Abigail Lee</w:t>
      </w:r>
    </w:p>
    <w:p w14:paraId="01CA1D94" w14:textId="1AE87A9A" w:rsidR="00C817CC" w:rsidRPr="006E5A4F" w:rsidRDefault="20E1A32F" w:rsidP="0320F0AF">
      <w:pPr>
        <w:spacing w:line="480" w:lineRule="auto"/>
        <w:contextualSpacing/>
        <w:jc w:val="center"/>
        <w:rPr>
          <w:rFonts w:ascii="Times New Roman" w:eastAsia="Times New Roman" w:hAnsi="Times New Roman" w:cs="Times New Roman"/>
          <w:sz w:val="24"/>
          <w:szCs w:val="24"/>
        </w:rPr>
      </w:pPr>
      <w:r w:rsidRPr="0320F0AF">
        <w:rPr>
          <w:rFonts w:ascii="Times New Roman" w:eastAsia="Times New Roman" w:hAnsi="Times New Roman" w:cs="Times New Roman"/>
          <w:sz w:val="24"/>
          <w:szCs w:val="24"/>
        </w:rPr>
        <w:t>Westbrook College of Health Professions, University of New England</w:t>
      </w:r>
    </w:p>
    <w:p w14:paraId="0B89BC9E" w14:textId="0ABB3C03" w:rsidR="00C817CC" w:rsidRPr="006E5A4F" w:rsidRDefault="2EB98A7E" w:rsidP="0320F0AF">
      <w:pPr>
        <w:spacing w:line="480" w:lineRule="auto"/>
        <w:contextualSpacing/>
        <w:jc w:val="center"/>
        <w:rPr>
          <w:rFonts w:ascii="Times New Roman" w:eastAsia="Times New Roman" w:hAnsi="Times New Roman" w:cs="Times New Roman"/>
          <w:color w:val="000000" w:themeColor="text1"/>
          <w:sz w:val="24"/>
          <w:szCs w:val="24"/>
        </w:rPr>
      </w:pPr>
      <w:r w:rsidRPr="0320F0AF">
        <w:rPr>
          <w:rFonts w:ascii="Times New Roman" w:eastAsia="Times New Roman" w:hAnsi="Times New Roman" w:cs="Times New Roman"/>
          <w:color w:val="000000" w:themeColor="text1"/>
          <w:sz w:val="24"/>
          <w:szCs w:val="24"/>
        </w:rPr>
        <w:t>ANE729: DNP Scholarly Project III</w:t>
      </w:r>
    </w:p>
    <w:p w14:paraId="13FB40C6" w14:textId="7C753610" w:rsidR="00C817CC" w:rsidRPr="006E5A4F" w:rsidRDefault="2EB98A7E" w:rsidP="0320F0AF">
      <w:pPr>
        <w:spacing w:line="480" w:lineRule="auto"/>
        <w:contextualSpacing/>
        <w:jc w:val="center"/>
        <w:rPr>
          <w:rFonts w:ascii="Times New Roman" w:eastAsia="Times New Roman" w:hAnsi="Times New Roman" w:cs="Times New Roman"/>
          <w:color w:val="000000" w:themeColor="text1"/>
          <w:sz w:val="24"/>
          <w:szCs w:val="24"/>
        </w:rPr>
      </w:pPr>
      <w:r w:rsidRPr="0320F0AF">
        <w:rPr>
          <w:rFonts w:ascii="Times New Roman" w:eastAsia="Times New Roman" w:hAnsi="Times New Roman" w:cs="Times New Roman"/>
          <w:color w:val="000000" w:themeColor="text1"/>
          <w:sz w:val="24"/>
          <w:szCs w:val="24"/>
        </w:rPr>
        <w:t>Dr. Soleil Gibbs and Dr. Kerianne Flavin</w:t>
      </w:r>
    </w:p>
    <w:p w14:paraId="28A7770C" w14:textId="52CD9CCD" w:rsidR="00C817CC" w:rsidRPr="006E5A4F" w:rsidRDefault="2EB98A7E" w:rsidP="0320F0AF">
      <w:pPr>
        <w:spacing w:line="480" w:lineRule="auto"/>
        <w:contextualSpacing/>
        <w:jc w:val="center"/>
        <w:rPr>
          <w:rFonts w:ascii="Times New Roman" w:eastAsia="Times New Roman" w:hAnsi="Times New Roman" w:cs="Times New Roman"/>
          <w:color w:val="000000" w:themeColor="text1"/>
          <w:sz w:val="24"/>
          <w:szCs w:val="24"/>
        </w:rPr>
      </w:pPr>
      <w:r w:rsidRPr="0320F0AF">
        <w:rPr>
          <w:rFonts w:ascii="Times New Roman" w:eastAsia="Times New Roman" w:hAnsi="Times New Roman" w:cs="Times New Roman"/>
          <w:color w:val="000000" w:themeColor="text1"/>
          <w:sz w:val="24"/>
          <w:szCs w:val="24"/>
        </w:rPr>
        <w:t>April 17</w:t>
      </w:r>
      <w:r w:rsidRPr="0320F0AF">
        <w:rPr>
          <w:rFonts w:ascii="Times New Roman" w:eastAsia="Times New Roman" w:hAnsi="Times New Roman" w:cs="Times New Roman"/>
          <w:color w:val="000000" w:themeColor="text1"/>
          <w:sz w:val="24"/>
          <w:szCs w:val="24"/>
          <w:vertAlign w:val="superscript"/>
        </w:rPr>
        <w:t>th</w:t>
      </w:r>
      <w:r w:rsidRPr="0320F0AF">
        <w:rPr>
          <w:rFonts w:ascii="Times New Roman" w:eastAsia="Times New Roman" w:hAnsi="Times New Roman" w:cs="Times New Roman"/>
          <w:color w:val="000000" w:themeColor="text1"/>
          <w:sz w:val="24"/>
          <w:szCs w:val="24"/>
        </w:rPr>
        <w:t>, 2026</w:t>
      </w:r>
    </w:p>
    <w:p w14:paraId="435C7B6F" w14:textId="3B414AA9" w:rsidR="00C817CC" w:rsidRPr="006E5A4F" w:rsidRDefault="00A963B7" w:rsidP="0320F0AF">
      <w:pPr>
        <w:spacing w:line="480" w:lineRule="auto"/>
        <w:contextualSpacing/>
        <w:jc w:val="center"/>
        <w:rPr>
          <w:rFonts w:ascii="Times New Roman" w:eastAsia="Times New Roman" w:hAnsi="Times New Roman" w:cs="Times New Roman"/>
          <w:sz w:val="24"/>
          <w:szCs w:val="24"/>
        </w:rPr>
      </w:pPr>
      <w:r w:rsidRPr="0320F0AF">
        <w:rPr>
          <w:rFonts w:ascii="Times New Roman" w:hAnsi="Times New Roman" w:cs="Times New Roman"/>
          <w:sz w:val="24"/>
          <w:szCs w:val="24"/>
        </w:rPr>
        <w:br w:type="page"/>
      </w:r>
    </w:p>
    <w:p w14:paraId="00000011" w14:textId="7A701E4B" w:rsidR="00C817CC" w:rsidRPr="00E16670" w:rsidRDefault="573C2D28" w:rsidP="007E254A">
      <w:pPr>
        <w:spacing w:line="480" w:lineRule="auto"/>
        <w:contextualSpacing/>
        <w:jc w:val="center"/>
        <w:rPr>
          <w:rFonts w:ascii="Times New Roman" w:eastAsia="Times New Roman" w:hAnsi="Times New Roman" w:cs="Times New Roman"/>
          <w:sz w:val="24"/>
          <w:szCs w:val="24"/>
        </w:rPr>
      </w:pPr>
      <w:r w:rsidRPr="1CF5E637">
        <w:rPr>
          <w:rFonts w:ascii="Times New Roman" w:eastAsia="Times New Roman" w:hAnsi="Times New Roman" w:cs="Times New Roman"/>
          <w:b/>
          <w:bCs/>
          <w:sz w:val="24"/>
          <w:szCs w:val="24"/>
        </w:rPr>
        <w:lastRenderedPageBreak/>
        <w:t>Abstract</w:t>
      </w:r>
    </w:p>
    <w:p w14:paraId="00000012" w14:textId="32A6767F" w:rsidR="00013649" w:rsidRDefault="7EBD3A91" w:rsidP="1CF5E637">
      <w:pPr>
        <w:spacing w:line="480" w:lineRule="auto"/>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Effective perioperative pain management remains a clinical priority, as inadequately controlled pain contributes to delayed recovery, increased opioid exposure, and a higher risk of chronic postsurgical pain</w:t>
      </w:r>
      <w:r w:rsidR="445CB865" w:rsidRPr="1CF5E637">
        <w:rPr>
          <w:rFonts w:ascii="Times New Roman" w:eastAsia="Times New Roman" w:hAnsi="Times New Roman" w:cs="Times New Roman"/>
          <w:sz w:val="24"/>
          <w:szCs w:val="24"/>
          <w:lang w:val="en-US"/>
        </w:rPr>
        <w:t>.</w:t>
      </w:r>
      <w:r w:rsidRPr="1CF5E637">
        <w:rPr>
          <w:rFonts w:ascii="Times New Roman" w:eastAsia="Times New Roman" w:hAnsi="Times New Roman" w:cs="Times New Roman"/>
          <w:sz w:val="24"/>
          <w:szCs w:val="24"/>
          <w:lang w:val="en-US"/>
        </w:rPr>
        <w:t xml:space="preserve"> Despite </w:t>
      </w:r>
      <w:r w:rsidR="00013649" w:rsidRPr="1CF5E637">
        <w:rPr>
          <w:rFonts w:ascii="Times New Roman" w:eastAsia="Times New Roman" w:hAnsi="Times New Roman" w:cs="Times New Roman"/>
          <w:sz w:val="24"/>
          <w:szCs w:val="24"/>
          <w:lang w:val="en-US"/>
        </w:rPr>
        <w:t xml:space="preserve">the expansion of </w:t>
      </w:r>
      <w:r w:rsidRPr="1CF5E637">
        <w:rPr>
          <w:rFonts w:ascii="Times New Roman" w:eastAsia="Times New Roman" w:hAnsi="Times New Roman" w:cs="Times New Roman"/>
          <w:sz w:val="24"/>
          <w:szCs w:val="24"/>
          <w:lang w:val="en-US"/>
        </w:rPr>
        <w:t>multimodal strategies, short-acting opioids continue to dominate intraoperative practice and may produce inconsistent postoperative analgesia. Intraoperative methadone offers a promising alternative due to its multimodal pharmacology and long duration of action, providing more stable analgesia from a single dose.</w:t>
      </w:r>
      <w:r w:rsidR="2B3B6B46" w:rsidRPr="1CF5E637">
        <w:rPr>
          <w:rFonts w:ascii="Times New Roman" w:eastAsia="Times New Roman" w:hAnsi="Times New Roman" w:cs="Times New Roman"/>
          <w:sz w:val="24"/>
          <w:szCs w:val="24"/>
          <w:lang w:val="en-US"/>
        </w:rPr>
        <w:t xml:space="preserve"> </w:t>
      </w:r>
      <w:r w:rsidR="5F7CF112" w:rsidRPr="1CF5E637">
        <w:rPr>
          <w:rFonts w:ascii="Times New Roman" w:eastAsia="Times New Roman" w:hAnsi="Times New Roman" w:cs="Times New Roman"/>
          <w:sz w:val="24"/>
          <w:szCs w:val="24"/>
          <w:lang w:val="en-US"/>
        </w:rPr>
        <w:t>This</w:t>
      </w:r>
      <w:r w:rsidR="00013649" w:rsidRPr="1CF5E637">
        <w:rPr>
          <w:rFonts w:ascii="Times New Roman" w:eastAsia="Times New Roman" w:hAnsi="Times New Roman" w:cs="Times New Roman"/>
          <w:sz w:val="24"/>
          <w:szCs w:val="24"/>
          <w:lang w:val="en-US"/>
        </w:rPr>
        <w:t xml:space="preserve"> integrative</w:t>
      </w:r>
      <w:r w:rsidR="5F7CF112" w:rsidRPr="1CF5E637">
        <w:rPr>
          <w:rFonts w:ascii="Times New Roman" w:eastAsia="Times New Roman" w:hAnsi="Times New Roman" w:cs="Times New Roman"/>
          <w:sz w:val="24"/>
          <w:szCs w:val="24"/>
          <w:lang w:val="en-US"/>
        </w:rPr>
        <w:t xml:space="preserve"> review aims to evaluate the </w:t>
      </w:r>
      <w:r w:rsidR="00013649" w:rsidRPr="1CF5E637">
        <w:rPr>
          <w:rFonts w:ascii="Times New Roman" w:eastAsia="Times New Roman" w:hAnsi="Times New Roman" w:cs="Times New Roman"/>
          <w:sz w:val="24"/>
          <w:szCs w:val="24"/>
          <w:lang w:val="en-US"/>
        </w:rPr>
        <w:t>effectiveness</w:t>
      </w:r>
      <w:r w:rsidR="5F7CF112" w:rsidRPr="1CF5E637">
        <w:rPr>
          <w:rFonts w:ascii="Times New Roman" w:eastAsia="Times New Roman" w:hAnsi="Times New Roman" w:cs="Times New Roman"/>
          <w:sz w:val="24"/>
          <w:szCs w:val="24"/>
          <w:lang w:val="en-US"/>
        </w:rPr>
        <w:t xml:space="preserve"> of intraoperative intravenous methadone, compared with short-acting opioids, in reducing postoperative pain intensity and opioid consumption in adult surgical patients. </w:t>
      </w:r>
      <w:r w:rsidR="2B3B6B46" w:rsidRPr="1CF5E637">
        <w:rPr>
          <w:rFonts w:ascii="Times New Roman" w:eastAsia="Times New Roman" w:hAnsi="Times New Roman" w:cs="Times New Roman"/>
          <w:sz w:val="24"/>
          <w:szCs w:val="24"/>
          <w:lang w:val="en-US"/>
        </w:rPr>
        <w:t xml:space="preserve">Using the integrative review methodology described by Whittemore and </w:t>
      </w:r>
      <w:proofErr w:type="spellStart"/>
      <w:r w:rsidR="2B3B6B46" w:rsidRPr="1CF5E637">
        <w:rPr>
          <w:rFonts w:ascii="Times New Roman" w:eastAsia="Times New Roman" w:hAnsi="Times New Roman" w:cs="Times New Roman"/>
          <w:sz w:val="24"/>
          <w:szCs w:val="24"/>
          <w:lang w:val="en-US"/>
        </w:rPr>
        <w:t>Knafl</w:t>
      </w:r>
      <w:proofErr w:type="spellEnd"/>
      <w:r w:rsidR="2B3B6B46" w:rsidRPr="1CF5E637">
        <w:rPr>
          <w:rFonts w:ascii="Times New Roman" w:eastAsia="Times New Roman" w:hAnsi="Times New Roman" w:cs="Times New Roman"/>
          <w:sz w:val="24"/>
          <w:szCs w:val="24"/>
          <w:lang w:val="en-US"/>
        </w:rPr>
        <w:t xml:space="preserve"> (2005), </w:t>
      </w:r>
      <w:r w:rsidR="00013649" w:rsidRPr="1CF5E637">
        <w:rPr>
          <w:rFonts w:ascii="Times New Roman" w:eastAsia="Times New Roman" w:hAnsi="Times New Roman" w:cs="Times New Roman"/>
          <w:sz w:val="24"/>
          <w:szCs w:val="24"/>
          <w:lang w:val="en-US"/>
        </w:rPr>
        <w:t>a comprehensive literature search, data evaluation, and thematic analysis were conducted</w:t>
      </w:r>
      <w:r w:rsidR="2B3B6B46" w:rsidRPr="1CF5E637">
        <w:rPr>
          <w:rFonts w:ascii="Times New Roman" w:eastAsia="Times New Roman" w:hAnsi="Times New Roman" w:cs="Times New Roman"/>
          <w:sz w:val="24"/>
          <w:szCs w:val="24"/>
          <w:lang w:val="en-US"/>
        </w:rPr>
        <w:t xml:space="preserve">. </w:t>
      </w:r>
      <w:r w:rsidR="007958AA">
        <w:rPr>
          <w:rFonts w:ascii="Times New Roman" w:eastAsia="Times New Roman" w:hAnsi="Times New Roman" w:cs="Times New Roman"/>
          <w:sz w:val="24"/>
          <w:szCs w:val="24"/>
          <w:lang w:val="en-US"/>
        </w:rPr>
        <w:t>The evidence</w:t>
      </w:r>
      <w:r w:rsidRPr="1CF5E637">
        <w:rPr>
          <w:rFonts w:ascii="Times New Roman" w:eastAsia="Times New Roman" w:hAnsi="Times New Roman" w:cs="Times New Roman"/>
          <w:sz w:val="24"/>
          <w:szCs w:val="24"/>
          <w:lang w:val="en-US"/>
        </w:rPr>
        <w:t xml:space="preserve"> </w:t>
      </w:r>
      <w:r w:rsidR="007958AA">
        <w:rPr>
          <w:rFonts w:ascii="Times New Roman" w:eastAsia="Times New Roman" w:hAnsi="Times New Roman" w:cs="Times New Roman"/>
          <w:sz w:val="24"/>
          <w:szCs w:val="24"/>
          <w:lang w:val="en-US"/>
        </w:rPr>
        <w:t xml:space="preserve">indicates </w:t>
      </w:r>
      <w:r w:rsidRPr="1CF5E637">
        <w:rPr>
          <w:rFonts w:ascii="Times New Roman" w:eastAsia="Times New Roman" w:hAnsi="Times New Roman" w:cs="Times New Roman"/>
          <w:sz w:val="24"/>
          <w:szCs w:val="24"/>
          <w:lang w:val="en-US"/>
        </w:rPr>
        <w:t xml:space="preserve">that intraoperative methadone is associated with improved postoperative pain control and reduced opioid requirements without a consistent increase in </w:t>
      </w:r>
      <w:r w:rsidR="00013649" w:rsidRPr="1CF5E637">
        <w:rPr>
          <w:rFonts w:ascii="Times New Roman" w:eastAsia="Times New Roman" w:hAnsi="Times New Roman" w:cs="Times New Roman"/>
          <w:sz w:val="24"/>
          <w:szCs w:val="24"/>
          <w:lang w:val="en-US"/>
        </w:rPr>
        <w:t>clinically significant adverse effects</w:t>
      </w:r>
      <w:r w:rsidRPr="1CF5E637">
        <w:rPr>
          <w:rFonts w:ascii="Times New Roman" w:eastAsia="Times New Roman" w:hAnsi="Times New Roman" w:cs="Times New Roman"/>
          <w:sz w:val="24"/>
          <w:szCs w:val="24"/>
          <w:lang w:val="en-US"/>
        </w:rPr>
        <w:t xml:space="preserve">. </w:t>
      </w:r>
      <w:r w:rsidR="00013649" w:rsidRPr="1CF5E637">
        <w:rPr>
          <w:rFonts w:ascii="Times New Roman" w:eastAsia="Times New Roman" w:hAnsi="Times New Roman" w:cs="Times New Roman"/>
          <w:sz w:val="24"/>
          <w:szCs w:val="24"/>
          <w:lang w:val="en-US"/>
        </w:rPr>
        <w:t>The magnitude of benefit varied based on surgical intensity, dosing strategy, and perioperative management, but the overall direction of effect remained consistent across study designs. These findings support intraoperative methadone as a safe and effective component of multimodal analgesia, with particular benefit in procedures associated with higher postoperative pain burden. Further research is needed to refine dosing strategies, evaluate long-term outcomes, and define its role within enhanced recovery protocols.</w:t>
      </w:r>
    </w:p>
    <w:p w14:paraId="0AFC9EE1" w14:textId="4F278589" w:rsidR="00C817CC" w:rsidRPr="007C64A3" w:rsidRDefault="7FCEA095" w:rsidP="0320F0AF">
      <w:pPr>
        <w:spacing w:line="480" w:lineRule="auto"/>
        <w:ind w:firstLine="720"/>
        <w:contextualSpacing/>
        <w:rPr>
          <w:rFonts w:ascii="Times New Roman" w:eastAsia="Times New Roman" w:hAnsi="Times New Roman" w:cs="Times New Roman"/>
          <w:b/>
          <w:bCs/>
          <w:sz w:val="24"/>
          <w:szCs w:val="24"/>
          <w:lang w:val="en-US"/>
        </w:rPr>
      </w:pPr>
      <w:r w:rsidRPr="0320F0AF">
        <w:rPr>
          <w:rFonts w:ascii="Times New Roman" w:eastAsia="Times New Roman" w:hAnsi="Times New Roman" w:cs="Times New Roman"/>
          <w:i/>
          <w:iCs/>
          <w:sz w:val="24"/>
          <w:szCs w:val="24"/>
        </w:rPr>
        <w:t>Keywords</w:t>
      </w:r>
      <w:r w:rsidR="5B2E8749" w:rsidRPr="0320F0AF">
        <w:rPr>
          <w:rFonts w:ascii="Times New Roman" w:eastAsia="Times New Roman" w:hAnsi="Times New Roman" w:cs="Times New Roman"/>
          <w:i/>
          <w:iCs/>
          <w:sz w:val="24"/>
          <w:szCs w:val="24"/>
        </w:rPr>
        <w:t xml:space="preserve">: </w:t>
      </w:r>
      <w:r w:rsidR="28CE332D" w:rsidRPr="0320F0AF">
        <w:rPr>
          <w:rFonts w:ascii="Times New Roman" w:eastAsia="Times New Roman" w:hAnsi="Times New Roman" w:cs="Times New Roman"/>
          <w:sz w:val="24"/>
          <w:szCs w:val="24"/>
          <w:lang w:val="en-US"/>
        </w:rPr>
        <w:t>methadone</w:t>
      </w:r>
      <w:r w:rsidR="5B2E8749" w:rsidRPr="0320F0AF">
        <w:rPr>
          <w:rFonts w:ascii="Times New Roman" w:eastAsia="Times New Roman" w:hAnsi="Times New Roman" w:cs="Times New Roman"/>
          <w:sz w:val="24"/>
          <w:szCs w:val="24"/>
          <w:lang w:val="en-US"/>
        </w:rPr>
        <w:t xml:space="preserve">, </w:t>
      </w:r>
      <w:r w:rsidR="28CE332D" w:rsidRPr="0320F0AF">
        <w:rPr>
          <w:rFonts w:ascii="Times New Roman" w:eastAsia="Times New Roman" w:hAnsi="Times New Roman" w:cs="Times New Roman"/>
          <w:sz w:val="24"/>
          <w:szCs w:val="24"/>
          <w:lang w:val="en-US"/>
        </w:rPr>
        <w:t>methadone and surgery, intraoperative methadone, intraoperative methadone and surgery, perioperative methadone, postoperative pain, postoperative opioid consumption</w:t>
      </w:r>
      <w:r w:rsidR="3F97C471" w:rsidRPr="0320F0AF">
        <w:rPr>
          <w:rFonts w:ascii="Times New Roman" w:eastAsia="Times New Roman" w:hAnsi="Times New Roman" w:cs="Times New Roman"/>
          <w:sz w:val="24"/>
          <w:szCs w:val="24"/>
          <w:lang w:val="en-US"/>
        </w:rPr>
        <w:t xml:space="preserve"> </w:t>
      </w:r>
      <w:r w:rsidR="0046672D">
        <w:rPr>
          <w:rFonts w:ascii="Times New Roman" w:eastAsia="Times New Roman" w:hAnsi="Times New Roman" w:cs="Times New Roman"/>
          <w:sz w:val="24"/>
          <w:szCs w:val="24"/>
          <w:lang w:val="en-US"/>
        </w:rPr>
        <w:br/>
      </w:r>
    </w:p>
    <w:p w14:paraId="6D666205" w14:textId="6628B8A8" w:rsidR="00C817CC" w:rsidRPr="007C64A3" w:rsidRDefault="284C6F00" w:rsidP="0320F0AF">
      <w:pPr>
        <w:spacing w:line="480" w:lineRule="auto"/>
        <w:contextualSpacing/>
        <w:jc w:val="center"/>
        <w:rPr>
          <w:rFonts w:ascii="Times New Roman" w:eastAsia="Times New Roman" w:hAnsi="Times New Roman" w:cs="Times New Roman"/>
          <w:b/>
          <w:bCs/>
          <w:sz w:val="24"/>
          <w:szCs w:val="24"/>
          <w:lang w:val="en-US"/>
        </w:rPr>
      </w:pPr>
      <w:r w:rsidRPr="0320F0AF">
        <w:rPr>
          <w:rFonts w:ascii="Times New Roman" w:eastAsia="Times New Roman" w:hAnsi="Times New Roman" w:cs="Times New Roman"/>
          <w:b/>
          <w:bCs/>
          <w:sz w:val="24"/>
          <w:szCs w:val="24"/>
          <w:lang w:val="en-US"/>
        </w:rPr>
        <w:lastRenderedPageBreak/>
        <w:t>Intraoperative Intravenous Methadone in Adult Surgical Patients: An Integrative Review</w:t>
      </w:r>
    </w:p>
    <w:p w14:paraId="00000015" w14:textId="7237D063" w:rsidR="00C817CC" w:rsidRPr="00E16670" w:rsidRDefault="59F87F7F"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Effective postoperative pain management remains one of the most persistent challenges in perioperative anesthesia practice. </w:t>
      </w:r>
      <w:r w:rsidR="51A3EEE6" w:rsidRPr="1CF5E637">
        <w:rPr>
          <w:rFonts w:ascii="Times New Roman" w:eastAsia="Times New Roman" w:hAnsi="Times New Roman" w:cs="Times New Roman"/>
          <w:sz w:val="24"/>
          <w:szCs w:val="24"/>
          <w:lang w:val="en-US"/>
        </w:rPr>
        <w:t>According to Kharasch et al. (2023), d</w:t>
      </w:r>
      <w:r w:rsidRPr="1CF5E637">
        <w:rPr>
          <w:rFonts w:ascii="Times New Roman" w:eastAsia="Times New Roman" w:hAnsi="Times New Roman" w:cs="Times New Roman"/>
          <w:sz w:val="24"/>
          <w:szCs w:val="24"/>
          <w:lang w:val="en-US"/>
        </w:rPr>
        <w:t>espite advancements in multimodal analgesic strategies,</w:t>
      </w:r>
      <w:r w:rsidR="7F8821E6" w:rsidRPr="1CF5E637">
        <w:rPr>
          <w:rFonts w:ascii="Times New Roman" w:eastAsia="Times New Roman" w:hAnsi="Times New Roman" w:cs="Times New Roman"/>
          <w:sz w:val="24"/>
          <w:szCs w:val="24"/>
          <w:lang w:val="en-US"/>
        </w:rPr>
        <w:t xml:space="preserve"> </w:t>
      </w:r>
      <w:r w:rsidRPr="1CF5E637">
        <w:rPr>
          <w:rFonts w:ascii="Times New Roman" w:eastAsia="Times New Roman" w:hAnsi="Times New Roman" w:cs="Times New Roman"/>
          <w:sz w:val="24"/>
          <w:szCs w:val="24"/>
          <w:lang w:val="en-US"/>
        </w:rPr>
        <w:t>more than 80% of adult surgical patients continue to report moderate to severe pain during the immediate postoperative period</w:t>
      </w:r>
      <w:r w:rsidR="75F70DB8" w:rsidRPr="1CF5E637">
        <w:rPr>
          <w:rFonts w:ascii="Times New Roman" w:eastAsia="Times New Roman" w:hAnsi="Times New Roman" w:cs="Times New Roman"/>
          <w:sz w:val="24"/>
          <w:szCs w:val="24"/>
          <w:lang w:val="en-US"/>
        </w:rPr>
        <w:t>, 75% of whom report their pain as</w:t>
      </w:r>
      <w:r w:rsidR="6174D1F7" w:rsidRPr="1CF5E637">
        <w:rPr>
          <w:rFonts w:ascii="Times New Roman" w:eastAsia="Times New Roman" w:hAnsi="Times New Roman" w:cs="Times New Roman"/>
          <w:sz w:val="24"/>
          <w:szCs w:val="24"/>
          <w:lang w:val="en-US"/>
        </w:rPr>
        <w:t xml:space="preserve"> severe. </w:t>
      </w:r>
      <w:r w:rsidRPr="1CF5E637">
        <w:rPr>
          <w:rFonts w:ascii="Times New Roman" w:eastAsia="Times New Roman" w:hAnsi="Times New Roman" w:cs="Times New Roman"/>
          <w:sz w:val="24"/>
          <w:szCs w:val="24"/>
          <w:lang w:val="en-US"/>
        </w:rPr>
        <w:t>Inadequately controlled postoperative pain is cited as the main risk factor for the development of chronic postsurgical pain</w:t>
      </w:r>
      <w:r w:rsidR="003C7266" w:rsidRPr="1CF5E637">
        <w:rPr>
          <w:rFonts w:ascii="Times New Roman" w:eastAsia="Times New Roman" w:hAnsi="Times New Roman" w:cs="Times New Roman"/>
          <w:sz w:val="24"/>
          <w:szCs w:val="24"/>
          <w:lang w:val="en-US"/>
        </w:rPr>
        <w:t>,</w:t>
      </w:r>
      <w:r w:rsidRPr="1CF5E637">
        <w:rPr>
          <w:rFonts w:ascii="Times New Roman" w:eastAsia="Times New Roman" w:hAnsi="Times New Roman" w:cs="Times New Roman"/>
          <w:sz w:val="24"/>
          <w:szCs w:val="24"/>
          <w:lang w:val="en-US"/>
        </w:rPr>
        <w:t xml:space="preserve"> which occurs in up to 85% of surgical patients</w:t>
      </w:r>
      <w:r w:rsidR="17856D25" w:rsidRPr="1CF5E637">
        <w:rPr>
          <w:rFonts w:ascii="Times New Roman" w:eastAsia="Times New Roman" w:hAnsi="Times New Roman" w:cs="Times New Roman"/>
          <w:sz w:val="24"/>
          <w:szCs w:val="24"/>
          <w:lang w:val="en-US"/>
        </w:rPr>
        <w:t>.</w:t>
      </w:r>
      <w:r w:rsidR="00970B29" w:rsidRPr="1CF5E637">
        <w:rPr>
          <w:rFonts w:ascii="Times New Roman" w:eastAsia="Times New Roman" w:hAnsi="Times New Roman" w:cs="Times New Roman"/>
          <w:sz w:val="24"/>
          <w:szCs w:val="24"/>
          <w:lang w:val="en-US"/>
        </w:rPr>
        <w:t xml:space="preserve"> </w:t>
      </w:r>
      <w:r w:rsidRPr="1CF5E637">
        <w:rPr>
          <w:rFonts w:ascii="Times New Roman" w:eastAsia="Times New Roman" w:hAnsi="Times New Roman" w:cs="Times New Roman"/>
          <w:sz w:val="24"/>
          <w:szCs w:val="24"/>
          <w:lang w:val="en-US"/>
        </w:rPr>
        <w:t>Additionally,</w:t>
      </w:r>
      <w:r w:rsidR="5879F69E" w:rsidRPr="1CF5E637">
        <w:rPr>
          <w:rFonts w:ascii="Times New Roman" w:eastAsia="Times New Roman" w:hAnsi="Times New Roman" w:cs="Times New Roman"/>
          <w:sz w:val="24"/>
          <w:szCs w:val="24"/>
          <w:lang w:val="en-US"/>
        </w:rPr>
        <w:t xml:space="preserve"> Kendall et al. (2020) </w:t>
      </w:r>
      <w:r w:rsidR="007E254A">
        <w:rPr>
          <w:rFonts w:ascii="Times New Roman" w:eastAsia="Times New Roman" w:hAnsi="Times New Roman" w:cs="Times New Roman"/>
          <w:sz w:val="24"/>
          <w:szCs w:val="24"/>
          <w:lang w:val="en-US"/>
        </w:rPr>
        <w:t>found that</w:t>
      </w:r>
      <w:r w:rsidRPr="1CF5E637">
        <w:rPr>
          <w:rFonts w:ascii="Times New Roman" w:eastAsia="Times New Roman" w:hAnsi="Times New Roman" w:cs="Times New Roman"/>
          <w:sz w:val="24"/>
          <w:szCs w:val="24"/>
          <w:lang w:val="en-US"/>
        </w:rPr>
        <w:t xml:space="preserve"> inadequately controlled postoperative pain </w:t>
      </w:r>
      <w:r w:rsidR="006E5A4F">
        <w:rPr>
          <w:rFonts w:ascii="Times New Roman" w:eastAsia="Times New Roman" w:hAnsi="Times New Roman" w:cs="Times New Roman"/>
          <w:sz w:val="24"/>
          <w:szCs w:val="24"/>
          <w:lang w:val="en-US"/>
        </w:rPr>
        <w:t>is</w:t>
      </w:r>
      <w:r w:rsidR="3FACB5E8" w:rsidRPr="1CF5E637">
        <w:rPr>
          <w:rFonts w:ascii="Times New Roman" w:eastAsia="Times New Roman" w:hAnsi="Times New Roman" w:cs="Times New Roman"/>
          <w:sz w:val="24"/>
          <w:szCs w:val="24"/>
          <w:lang w:val="en-US"/>
        </w:rPr>
        <w:t xml:space="preserve"> strongly </w:t>
      </w:r>
      <w:r w:rsidRPr="1CF5E637">
        <w:rPr>
          <w:rFonts w:ascii="Times New Roman" w:eastAsia="Times New Roman" w:hAnsi="Times New Roman" w:cs="Times New Roman"/>
          <w:sz w:val="24"/>
          <w:szCs w:val="24"/>
          <w:lang w:val="en-US"/>
        </w:rPr>
        <w:t>associated with delayed mobilization, prolonged recovery, and increased opioid exposure.</w:t>
      </w:r>
    </w:p>
    <w:p w14:paraId="00000016" w14:textId="235670F2" w:rsidR="00C817CC" w:rsidRPr="00E16670" w:rsidRDefault="7EBD3A91"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Short-acting opioids such as fentanyl, hydromorphone, and morphine remain the cornerstone of intraoperative and early postoperative analgesia (Green et al., 2024). While effective for acute pain, these agents are limited by their relatively short duration of </w:t>
      </w:r>
      <w:r w:rsidR="5ACE11A3" w:rsidRPr="1CF5E637">
        <w:rPr>
          <w:rFonts w:ascii="Times New Roman" w:eastAsia="Times New Roman" w:hAnsi="Times New Roman" w:cs="Times New Roman"/>
          <w:sz w:val="24"/>
          <w:szCs w:val="24"/>
          <w:lang w:val="en-US"/>
        </w:rPr>
        <w:t>action,</w:t>
      </w:r>
      <w:r w:rsidRPr="1CF5E637">
        <w:rPr>
          <w:rFonts w:ascii="Times New Roman" w:eastAsia="Times New Roman" w:hAnsi="Times New Roman" w:cs="Times New Roman"/>
          <w:sz w:val="24"/>
          <w:szCs w:val="24"/>
          <w:lang w:val="en-US"/>
        </w:rPr>
        <w:t xml:space="preserve"> which necessitates repeated intraoperative and postoperative dosing. Fluctuations in plasma concentration may result in cycles of insufficient analgesia followed by oversedation, contributing to hemodynamic instability and opioid-related adverse effects (</w:t>
      </w:r>
      <w:r w:rsidR="095929FF" w:rsidRPr="1CF5E637">
        <w:rPr>
          <w:rFonts w:ascii="Times New Roman" w:eastAsia="Times New Roman" w:hAnsi="Times New Roman" w:cs="Times New Roman"/>
          <w:sz w:val="24"/>
          <w:szCs w:val="24"/>
          <w:lang w:val="en-US"/>
        </w:rPr>
        <w:t>Kharasch et al., 2023</w:t>
      </w:r>
      <w:r w:rsidRPr="1CF5E637">
        <w:rPr>
          <w:rFonts w:ascii="Times New Roman" w:eastAsia="Times New Roman" w:hAnsi="Times New Roman" w:cs="Times New Roman"/>
          <w:sz w:val="24"/>
          <w:szCs w:val="24"/>
          <w:lang w:val="en-US"/>
        </w:rPr>
        <w:t xml:space="preserve">). These pharmacokinetic characteristics may complicate the transition from intraoperative to postoperative pain management and increase reliance on rescue opioid administration </w:t>
      </w:r>
      <w:r w:rsidR="291A8579" w:rsidRPr="1CF5E637">
        <w:rPr>
          <w:rFonts w:ascii="Times New Roman" w:eastAsia="Times New Roman" w:hAnsi="Times New Roman" w:cs="Times New Roman"/>
          <w:sz w:val="24"/>
          <w:szCs w:val="24"/>
          <w:lang w:val="en-US"/>
        </w:rPr>
        <w:t>(Brown et al., 2025).</w:t>
      </w:r>
    </w:p>
    <w:p w14:paraId="331980C0" w14:textId="32B09020" w:rsidR="00A963B7" w:rsidRDefault="00A963B7"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In recent years, there has been a growing emphasis on opioid-sparing techniques within anesthesia practice, driven by both the opioid epidemic and the implementation of Enhanced Recovery After Surgery (ERAS) protocols</w:t>
      </w:r>
      <w:r w:rsidR="15CF7873" w:rsidRPr="1CF5E637">
        <w:rPr>
          <w:rFonts w:ascii="Times New Roman" w:eastAsia="Times New Roman" w:hAnsi="Times New Roman" w:cs="Times New Roman"/>
          <w:sz w:val="24"/>
          <w:szCs w:val="24"/>
          <w:lang w:val="en-US"/>
        </w:rPr>
        <w:t xml:space="preserve"> (Myles &amp; Brumme</w:t>
      </w:r>
      <w:r w:rsidR="31736084" w:rsidRPr="1CF5E637">
        <w:rPr>
          <w:rFonts w:ascii="Times New Roman" w:eastAsia="Times New Roman" w:hAnsi="Times New Roman" w:cs="Times New Roman"/>
          <w:sz w:val="24"/>
          <w:szCs w:val="24"/>
          <w:lang w:val="en-US"/>
        </w:rPr>
        <w:t>t</w:t>
      </w:r>
      <w:r w:rsidR="15CF7873" w:rsidRPr="1CF5E637">
        <w:rPr>
          <w:rFonts w:ascii="Times New Roman" w:eastAsia="Times New Roman" w:hAnsi="Times New Roman" w:cs="Times New Roman"/>
          <w:sz w:val="24"/>
          <w:szCs w:val="24"/>
          <w:lang w:val="en-US"/>
        </w:rPr>
        <w:t>t, 2023)</w:t>
      </w:r>
      <w:r w:rsidRPr="1CF5E637">
        <w:rPr>
          <w:rFonts w:ascii="Times New Roman" w:eastAsia="Times New Roman" w:hAnsi="Times New Roman" w:cs="Times New Roman"/>
          <w:sz w:val="24"/>
          <w:szCs w:val="24"/>
          <w:lang w:val="en-US"/>
        </w:rPr>
        <w:t xml:space="preserve">. ERAS frameworks advocate for analgesic approaches that promote physiologic stability, facilitate earlier recovery, </w:t>
      </w:r>
      <w:r w:rsidRPr="1CF5E637">
        <w:rPr>
          <w:rFonts w:ascii="Times New Roman" w:eastAsia="Times New Roman" w:hAnsi="Times New Roman" w:cs="Times New Roman"/>
          <w:sz w:val="24"/>
          <w:szCs w:val="24"/>
          <w:lang w:val="en-US"/>
        </w:rPr>
        <w:lastRenderedPageBreak/>
        <w:t>and reduce</w:t>
      </w:r>
      <w:r w:rsidR="0CAEF2C0" w:rsidRPr="1CF5E637">
        <w:rPr>
          <w:rFonts w:ascii="Times New Roman" w:eastAsia="Times New Roman" w:hAnsi="Times New Roman" w:cs="Times New Roman"/>
          <w:sz w:val="24"/>
          <w:szCs w:val="24"/>
          <w:lang w:val="en-US"/>
        </w:rPr>
        <w:t xml:space="preserve"> </w:t>
      </w:r>
      <w:r w:rsidRPr="1CF5E637">
        <w:rPr>
          <w:rFonts w:ascii="Times New Roman" w:eastAsia="Times New Roman" w:hAnsi="Times New Roman" w:cs="Times New Roman"/>
          <w:sz w:val="24"/>
          <w:szCs w:val="24"/>
          <w:lang w:val="en-US"/>
        </w:rPr>
        <w:t>postoperative opioid consumption</w:t>
      </w:r>
      <w:r w:rsidR="3F17CA58" w:rsidRPr="1CF5E637">
        <w:rPr>
          <w:rFonts w:ascii="Times New Roman" w:eastAsia="Times New Roman" w:hAnsi="Times New Roman" w:cs="Times New Roman"/>
          <w:sz w:val="24"/>
          <w:szCs w:val="24"/>
          <w:lang w:val="en-US"/>
        </w:rPr>
        <w:t>.</w:t>
      </w:r>
      <w:r w:rsidRPr="1CF5E637">
        <w:rPr>
          <w:rFonts w:ascii="Times New Roman" w:eastAsia="Times New Roman" w:hAnsi="Times New Roman" w:cs="Times New Roman"/>
          <w:sz w:val="24"/>
          <w:szCs w:val="24"/>
          <w:lang w:val="en-US"/>
        </w:rPr>
        <w:t xml:space="preserve"> Within this framework, intraoperative methadone has emerged as a possible adjunct or alternative to conventional short-acting opioids due to its prolonged duration of action and multimodal receptor activity </w:t>
      </w:r>
      <w:r w:rsidR="08EE762E" w:rsidRPr="1CF5E637">
        <w:rPr>
          <w:rFonts w:ascii="Times New Roman" w:eastAsia="Times New Roman" w:hAnsi="Times New Roman" w:cs="Times New Roman"/>
          <w:sz w:val="24"/>
          <w:szCs w:val="24"/>
        </w:rPr>
        <w:t>(</w:t>
      </w:r>
      <w:r w:rsidR="75AEF619" w:rsidRPr="1CF5E637">
        <w:rPr>
          <w:rFonts w:ascii="Times New Roman" w:eastAsia="Times New Roman" w:hAnsi="Times New Roman" w:cs="Times New Roman"/>
          <w:sz w:val="24"/>
          <w:szCs w:val="24"/>
        </w:rPr>
        <w:t xml:space="preserve">D’Souza et al., </w:t>
      </w:r>
      <w:r w:rsidR="75AEF619" w:rsidRPr="1CF5E637">
        <w:rPr>
          <w:rFonts w:ascii="Times New Roman" w:eastAsia="Times New Roman" w:hAnsi="Times New Roman" w:cs="Times New Roman"/>
          <w:sz w:val="24"/>
          <w:szCs w:val="24"/>
          <w:lang w:val="en-US"/>
        </w:rPr>
        <w:t>202</w:t>
      </w:r>
      <w:r w:rsidR="6FFC4151" w:rsidRPr="1CF5E637">
        <w:rPr>
          <w:rFonts w:ascii="Times New Roman" w:eastAsia="Times New Roman" w:hAnsi="Times New Roman" w:cs="Times New Roman"/>
          <w:sz w:val="24"/>
          <w:szCs w:val="24"/>
          <w:lang w:val="en-US"/>
        </w:rPr>
        <w:t>3</w:t>
      </w:r>
      <w:r w:rsidR="08EE762E" w:rsidRPr="1CF5E637">
        <w:rPr>
          <w:rFonts w:ascii="Times New Roman" w:eastAsia="Times New Roman" w:hAnsi="Times New Roman" w:cs="Times New Roman"/>
          <w:sz w:val="24"/>
          <w:szCs w:val="24"/>
          <w:lang w:val="en-US"/>
        </w:rPr>
        <w:t xml:space="preserve">). </w:t>
      </w:r>
    </w:p>
    <w:p w14:paraId="00000018" w14:textId="0A6B9720" w:rsidR="00C817CC" w:rsidRPr="00E16670" w:rsidRDefault="4AA125D9"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Methadone is a synthetic opioid analgesic with a distinctive pharmacologic profile that differentiates it from other opioids traditionally used in perioperative care</w:t>
      </w:r>
      <w:r w:rsidR="08C940C5" w:rsidRPr="0320F0AF">
        <w:rPr>
          <w:rFonts w:ascii="Times New Roman" w:eastAsia="Times New Roman" w:hAnsi="Times New Roman" w:cs="Times New Roman"/>
          <w:sz w:val="24"/>
          <w:szCs w:val="24"/>
          <w:lang w:val="en-US"/>
        </w:rPr>
        <w:t>.</w:t>
      </w:r>
      <w:r w:rsidRPr="0320F0AF">
        <w:rPr>
          <w:rFonts w:ascii="Times New Roman" w:eastAsia="Times New Roman" w:hAnsi="Times New Roman" w:cs="Times New Roman"/>
          <w:sz w:val="24"/>
          <w:szCs w:val="24"/>
          <w:lang w:val="en-US"/>
        </w:rPr>
        <w:t xml:space="preserve"> Whereas short-acting opioids such as fentanyl and hydromorphone primarily target the μ-opioid receptor</w:t>
      </w:r>
      <w:r w:rsidR="0C19C05C" w:rsidRPr="0320F0AF">
        <w:rPr>
          <w:rFonts w:ascii="Times New Roman" w:eastAsia="Times New Roman" w:hAnsi="Times New Roman" w:cs="Times New Roman"/>
          <w:sz w:val="24"/>
          <w:szCs w:val="24"/>
          <w:lang w:val="en-US"/>
        </w:rPr>
        <w:t>,</w:t>
      </w:r>
      <w:r w:rsidRPr="0320F0AF">
        <w:rPr>
          <w:rFonts w:ascii="Times New Roman" w:eastAsia="Times New Roman" w:hAnsi="Times New Roman" w:cs="Times New Roman"/>
          <w:sz w:val="24"/>
          <w:szCs w:val="24"/>
          <w:lang w:val="en-US"/>
        </w:rPr>
        <w:t xml:space="preserve"> methadone exerts multimodal analgesic effects through μ-opioid receptor agonism, N-methyl-D-aspartate (NMDA) receptor antagonism, and inhibition of serotonin and norepinephrine reuptake (Brown et al., 2025). </w:t>
      </w:r>
      <w:r w:rsidR="5F0E6C42" w:rsidRPr="0320F0AF">
        <w:rPr>
          <w:rFonts w:ascii="Times New Roman" w:eastAsia="Times New Roman" w:hAnsi="Times New Roman" w:cs="Times New Roman"/>
          <w:sz w:val="24"/>
          <w:szCs w:val="24"/>
          <w:lang w:val="en-US"/>
        </w:rPr>
        <w:t>These combined mechanisms may enhance analgesic efficacy while attenuating central sensitization and opioid-induced hyperalgesia</w:t>
      </w:r>
      <w:r w:rsidR="2F47419E" w:rsidRPr="0320F0AF">
        <w:rPr>
          <w:rFonts w:ascii="Times New Roman" w:eastAsia="Times New Roman" w:hAnsi="Times New Roman" w:cs="Times New Roman"/>
          <w:sz w:val="24"/>
          <w:szCs w:val="24"/>
          <w:lang w:val="en-US"/>
        </w:rPr>
        <w:t>.</w:t>
      </w:r>
    </w:p>
    <w:p w14:paraId="00000019" w14:textId="02F1FC1F" w:rsidR="00C817CC" w:rsidRPr="00E16670" w:rsidRDefault="0F913169"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Following intravenous administration, peak effect-site concentrations occur within eight minutes, supporting administration </w:t>
      </w:r>
      <w:r w:rsidR="40EF9780" w:rsidRPr="1CF5E637">
        <w:rPr>
          <w:rFonts w:ascii="Times New Roman" w:eastAsia="Times New Roman" w:hAnsi="Times New Roman" w:cs="Times New Roman"/>
          <w:sz w:val="24"/>
          <w:szCs w:val="24"/>
          <w:lang w:val="en-US"/>
        </w:rPr>
        <w:t>on</w:t>
      </w:r>
      <w:r w:rsidRPr="1CF5E637">
        <w:rPr>
          <w:rFonts w:ascii="Times New Roman" w:eastAsia="Times New Roman" w:hAnsi="Times New Roman" w:cs="Times New Roman"/>
          <w:sz w:val="24"/>
          <w:szCs w:val="24"/>
          <w:lang w:val="en-US"/>
        </w:rPr>
        <w:t xml:space="preserve"> induction of anesthesia (Kharasch et al., 2023). </w:t>
      </w:r>
      <w:r w:rsidR="0025391A" w:rsidRPr="1CF5E637">
        <w:rPr>
          <w:rFonts w:ascii="Times New Roman" w:eastAsia="Times New Roman" w:hAnsi="Times New Roman" w:cs="Times New Roman"/>
          <w:sz w:val="24"/>
          <w:szCs w:val="24"/>
          <w:lang w:val="en-US"/>
        </w:rPr>
        <w:t xml:space="preserve">In contrast to short-acting opioids, methadone exhibits a prolonged duration of action, with an elimination half-life averaging 24 to 36 hours and extending up to 60 hours depending on patient-specific factors such as age, hepatic function, and cytochrome P450 variability </w:t>
      </w:r>
      <w:r w:rsidR="79AC00B4" w:rsidRPr="1CF5E637">
        <w:rPr>
          <w:rFonts w:ascii="Times New Roman" w:eastAsia="Times New Roman" w:hAnsi="Times New Roman" w:cs="Times New Roman"/>
          <w:sz w:val="24"/>
          <w:szCs w:val="24"/>
          <w:lang w:val="en-US"/>
        </w:rPr>
        <w:t>(Brown et al., 2025).</w:t>
      </w:r>
    </w:p>
    <w:p w14:paraId="0020C05D" w14:textId="77777777" w:rsidR="0025391A" w:rsidRDefault="0025391A"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The NMDA receptor antagonism of methadone may reduce amplification of nociceptive signaling associated with the wind-up phenomenon, while monoamine reuptake inhibition supports descending inhibitory pain pathways within the central nervous system (Hanna &amp; </w:t>
      </w:r>
      <w:proofErr w:type="spellStart"/>
      <w:r w:rsidRPr="1CF5E637">
        <w:rPr>
          <w:rFonts w:ascii="Times New Roman" w:eastAsia="Times New Roman" w:hAnsi="Times New Roman" w:cs="Times New Roman"/>
          <w:sz w:val="24"/>
          <w:szCs w:val="24"/>
          <w:lang w:val="en-US"/>
        </w:rPr>
        <w:t>Senderovich</w:t>
      </w:r>
      <w:proofErr w:type="spellEnd"/>
      <w:r w:rsidRPr="1CF5E637">
        <w:rPr>
          <w:rFonts w:ascii="Times New Roman" w:eastAsia="Times New Roman" w:hAnsi="Times New Roman" w:cs="Times New Roman"/>
          <w:sz w:val="24"/>
          <w:szCs w:val="24"/>
          <w:lang w:val="en-US"/>
        </w:rPr>
        <w:t>, 2021; Mercadante, 2023). Together, these properties provide a theoretical basis for sustained perioperative analgesia and reduced reliance on repeated short-acting opioid administration.</w:t>
      </w:r>
    </w:p>
    <w:p w14:paraId="1602721C" w14:textId="56BC561B" w:rsidR="0025391A" w:rsidRDefault="0025391A"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The purpose of this integrative review is to synthesize current empirical evidence evaluating the effect of intraoperative intravenous methadone, compared with short-acting </w:t>
      </w:r>
      <w:r w:rsidRPr="1CF5E637">
        <w:rPr>
          <w:rFonts w:ascii="Times New Roman" w:eastAsia="Times New Roman" w:hAnsi="Times New Roman" w:cs="Times New Roman"/>
          <w:sz w:val="24"/>
          <w:szCs w:val="24"/>
          <w:lang w:val="en-US"/>
        </w:rPr>
        <w:lastRenderedPageBreak/>
        <w:t>opioids, on postoperative pain intensity and opioid consumption in adult surgical patients. This synthesis aims to evaluate methadone’s role in perioperative pain management, inform its potential integration into enhanced recovery after surgery (ERAS) protocols, and identify implications for clinical practice and future research. This integrative review is guided by the following research question:</w:t>
      </w:r>
      <w:r w:rsidR="006D41B1" w:rsidRPr="1CF5E637">
        <w:rPr>
          <w:rFonts w:ascii="Times New Roman" w:eastAsia="Times New Roman" w:hAnsi="Times New Roman" w:cs="Times New Roman"/>
          <w:sz w:val="24"/>
          <w:szCs w:val="24"/>
          <w:lang w:val="en-US"/>
        </w:rPr>
        <w:t xml:space="preserve"> </w:t>
      </w:r>
      <w:r w:rsidRPr="1CF5E637">
        <w:rPr>
          <w:rFonts w:ascii="Times New Roman" w:eastAsia="Times New Roman" w:hAnsi="Times New Roman" w:cs="Times New Roman"/>
          <w:sz w:val="24"/>
          <w:szCs w:val="24"/>
          <w:lang w:val="en-US"/>
        </w:rPr>
        <w:t>compared with short-acting opioids, does intraoperative intravenous methadone reduce postoperative pain and opioid consumption in adult surgical patients without increasing adverse effects?</w:t>
      </w:r>
    </w:p>
    <w:p w14:paraId="429DA0D3" w14:textId="0E2E01A9" w:rsidR="5C147B13" w:rsidRDefault="5C147B13" w:rsidP="1CF5E637">
      <w:pPr>
        <w:spacing w:line="480" w:lineRule="auto"/>
        <w:contextualSpacing/>
        <w:jc w:val="center"/>
      </w:pPr>
      <w:r w:rsidRPr="1CF5E637">
        <w:rPr>
          <w:rFonts w:ascii="Times New Roman" w:eastAsia="Times New Roman" w:hAnsi="Times New Roman" w:cs="Times New Roman"/>
          <w:b/>
          <w:bCs/>
          <w:sz w:val="24"/>
          <w:szCs w:val="24"/>
        </w:rPr>
        <w:t>Methods</w:t>
      </w:r>
    </w:p>
    <w:p w14:paraId="0FE66605" w14:textId="4178A970" w:rsidR="5C147B13" w:rsidRDefault="5C147B13" w:rsidP="1CF5E637">
      <w:pPr>
        <w:spacing w:line="480" w:lineRule="auto"/>
        <w:contextualSpacing/>
      </w:pPr>
      <w:r w:rsidRPr="1CF5E637">
        <w:rPr>
          <w:rFonts w:ascii="Times New Roman" w:eastAsia="Times New Roman" w:hAnsi="Times New Roman" w:cs="Times New Roman"/>
          <w:b/>
          <w:bCs/>
          <w:sz w:val="24"/>
          <w:szCs w:val="24"/>
          <w:lang w:val="en-US"/>
        </w:rPr>
        <w:t>Literature Search and Study Selection</w:t>
      </w:r>
    </w:p>
    <w:p w14:paraId="5013CB18" w14:textId="485305BA" w:rsidR="5C147B13" w:rsidRDefault="3F6F6F2D"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This integrative review was conducted using the methodological framework described by Whittemore and Knafl (2005), which includes the </w:t>
      </w:r>
      <w:r w:rsidR="7658DA61" w:rsidRPr="0320F0AF">
        <w:rPr>
          <w:rFonts w:ascii="Times New Roman" w:eastAsia="Times New Roman" w:hAnsi="Times New Roman" w:cs="Times New Roman"/>
          <w:sz w:val="24"/>
          <w:szCs w:val="24"/>
          <w:lang w:val="en-US"/>
        </w:rPr>
        <w:t>following stages:</w:t>
      </w:r>
      <w:r w:rsidRPr="0320F0AF">
        <w:rPr>
          <w:rFonts w:ascii="Times New Roman" w:eastAsia="Times New Roman" w:hAnsi="Times New Roman" w:cs="Times New Roman"/>
          <w:sz w:val="24"/>
          <w:szCs w:val="24"/>
          <w:lang w:val="en-US"/>
        </w:rPr>
        <w:t xml:space="preserve"> literature search, data evaluation, data analysis, and presentation of findings. A comprehensive literature search and study selection process were performed independently by both authors to enhance methodological rigor and reduce selection bias.</w:t>
      </w:r>
    </w:p>
    <w:p w14:paraId="4B5E5680" w14:textId="55622A86" w:rsidR="5C147B13" w:rsidRDefault="5C147B13"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Databases accessed through the University of New England library system </w:t>
      </w:r>
      <w:r w:rsidR="7C4A1B74" w:rsidRPr="1CF5E637">
        <w:rPr>
          <w:rFonts w:ascii="Times New Roman" w:eastAsia="Times New Roman" w:hAnsi="Times New Roman" w:cs="Times New Roman"/>
          <w:sz w:val="24"/>
          <w:szCs w:val="24"/>
          <w:lang w:val="en-US"/>
        </w:rPr>
        <w:t>include</w:t>
      </w:r>
      <w:r w:rsidRPr="1CF5E637">
        <w:rPr>
          <w:rFonts w:ascii="Times New Roman" w:eastAsia="Times New Roman" w:hAnsi="Times New Roman" w:cs="Times New Roman"/>
          <w:sz w:val="24"/>
          <w:szCs w:val="24"/>
          <w:lang w:val="en-US"/>
        </w:rPr>
        <w:t xml:space="preserve"> PubMed (n = 73), CINAHL (n = 19), MEDLINE (n = 87), ScienceDirect (n = 41), and Wiley Online Library (n = 94). Search terms included “methadone,” “intraoperative methadone,” “perioperative methadone,” “postoperative pain,” and “postoperative opioid consumption</w:t>
      </w:r>
      <w:r w:rsidR="00AC6DB3" w:rsidRPr="1CF5E637">
        <w:rPr>
          <w:rFonts w:ascii="Times New Roman" w:eastAsia="Times New Roman" w:hAnsi="Times New Roman" w:cs="Times New Roman"/>
          <w:sz w:val="24"/>
          <w:szCs w:val="24"/>
          <w:lang w:val="en-US"/>
        </w:rPr>
        <w:t xml:space="preserve">.” </w:t>
      </w:r>
      <w:r w:rsidRPr="1CF5E637">
        <w:rPr>
          <w:rFonts w:ascii="Times New Roman" w:eastAsia="Times New Roman" w:hAnsi="Times New Roman" w:cs="Times New Roman"/>
          <w:sz w:val="24"/>
          <w:szCs w:val="24"/>
          <w:lang w:val="en-US"/>
        </w:rPr>
        <w:t>Reference lists of selected studies were also reviewed to identify additional relevant literature.</w:t>
      </w:r>
    </w:p>
    <w:p w14:paraId="45F0BB96" w14:textId="446D48E7" w:rsidR="5C147B13" w:rsidRDefault="5C147B13"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A total of 314 records were identified through</w:t>
      </w:r>
      <w:r w:rsidR="2F59869F" w:rsidRPr="1CF5E637">
        <w:rPr>
          <w:rFonts w:ascii="Times New Roman" w:eastAsia="Times New Roman" w:hAnsi="Times New Roman" w:cs="Times New Roman"/>
          <w:sz w:val="24"/>
          <w:szCs w:val="24"/>
          <w:lang w:val="en-US"/>
        </w:rPr>
        <w:t xml:space="preserve"> the</w:t>
      </w:r>
      <w:r w:rsidRPr="1CF5E637">
        <w:rPr>
          <w:rFonts w:ascii="Times New Roman" w:eastAsia="Times New Roman" w:hAnsi="Times New Roman" w:cs="Times New Roman"/>
          <w:sz w:val="24"/>
          <w:szCs w:val="24"/>
          <w:lang w:val="en-US"/>
        </w:rPr>
        <w:t xml:space="preserve"> database </w:t>
      </w:r>
      <w:r w:rsidR="5589A59C" w:rsidRPr="1CF5E637">
        <w:rPr>
          <w:rFonts w:ascii="Times New Roman" w:eastAsia="Times New Roman" w:hAnsi="Times New Roman" w:cs="Times New Roman"/>
          <w:sz w:val="24"/>
          <w:szCs w:val="24"/>
          <w:lang w:val="en-US"/>
        </w:rPr>
        <w:t>search</w:t>
      </w:r>
      <w:r w:rsidRPr="1CF5E637">
        <w:rPr>
          <w:rFonts w:ascii="Times New Roman" w:eastAsia="Times New Roman" w:hAnsi="Times New Roman" w:cs="Times New Roman"/>
          <w:sz w:val="24"/>
          <w:szCs w:val="24"/>
          <w:lang w:val="en-US"/>
        </w:rPr>
        <w:t xml:space="preserve">. Prior to screening, 202 records were removed </w:t>
      </w:r>
      <w:r w:rsidR="006D41B1" w:rsidRPr="1CF5E637">
        <w:rPr>
          <w:rFonts w:ascii="Times New Roman" w:eastAsia="Times New Roman" w:hAnsi="Times New Roman" w:cs="Times New Roman"/>
          <w:sz w:val="24"/>
          <w:szCs w:val="24"/>
          <w:lang w:val="en-US"/>
        </w:rPr>
        <w:t>for duplication, pediatric populations, exclusive evaluation of oral methadone, and non-human studies, leaving</w:t>
      </w:r>
      <w:r w:rsidRPr="1CF5E637">
        <w:rPr>
          <w:rFonts w:ascii="Times New Roman" w:eastAsia="Times New Roman" w:hAnsi="Times New Roman" w:cs="Times New Roman"/>
          <w:sz w:val="24"/>
          <w:szCs w:val="24"/>
          <w:lang w:val="en-US"/>
        </w:rPr>
        <w:t xml:space="preserve"> 112 records for initial screening. Title screening </w:t>
      </w:r>
      <w:r w:rsidR="006D41B1" w:rsidRPr="1CF5E637">
        <w:rPr>
          <w:rFonts w:ascii="Times New Roman" w:eastAsia="Times New Roman" w:hAnsi="Times New Roman" w:cs="Times New Roman"/>
          <w:sz w:val="24"/>
          <w:szCs w:val="24"/>
          <w:lang w:val="en-US"/>
        </w:rPr>
        <w:t xml:space="preserve">excluded 68 studies for lack of relevance or failure to meet the </w:t>
      </w:r>
      <w:r w:rsidRPr="1CF5E637">
        <w:rPr>
          <w:rFonts w:ascii="Times New Roman" w:eastAsia="Times New Roman" w:hAnsi="Times New Roman" w:cs="Times New Roman"/>
          <w:sz w:val="24"/>
          <w:szCs w:val="24"/>
          <w:lang w:val="en-US"/>
        </w:rPr>
        <w:t xml:space="preserve">inclusion criteria. The remaining </w:t>
      </w:r>
      <w:r w:rsidRPr="1CF5E637">
        <w:rPr>
          <w:rFonts w:ascii="Times New Roman" w:eastAsia="Times New Roman" w:hAnsi="Times New Roman" w:cs="Times New Roman"/>
          <w:sz w:val="24"/>
          <w:szCs w:val="24"/>
          <w:lang w:val="en-US"/>
        </w:rPr>
        <w:lastRenderedPageBreak/>
        <w:t xml:space="preserve">44 studies underwent abstract review, </w:t>
      </w:r>
      <w:r w:rsidR="006D41B1" w:rsidRPr="1CF5E637">
        <w:rPr>
          <w:rFonts w:ascii="Times New Roman" w:eastAsia="Times New Roman" w:hAnsi="Times New Roman" w:cs="Times New Roman"/>
          <w:sz w:val="24"/>
          <w:szCs w:val="24"/>
          <w:lang w:val="en-US"/>
        </w:rPr>
        <w:t>of which 18 were excluded for not evaluating</w:t>
      </w:r>
      <w:r w:rsidRPr="1CF5E637">
        <w:rPr>
          <w:rFonts w:ascii="Times New Roman" w:eastAsia="Times New Roman" w:hAnsi="Times New Roman" w:cs="Times New Roman"/>
          <w:sz w:val="24"/>
          <w:szCs w:val="24"/>
          <w:lang w:val="en-US"/>
        </w:rPr>
        <w:t xml:space="preserve"> intraoperative methadone or relevant postoperative outcomes.</w:t>
      </w:r>
    </w:p>
    <w:p w14:paraId="4C6281EF" w14:textId="3CA01653" w:rsidR="5C147B13" w:rsidRDefault="3F6F6F2D"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A total of 26 studies underwent full-text review, with 8 </w:t>
      </w:r>
      <w:r w:rsidR="6FFF08E8" w:rsidRPr="0320F0AF">
        <w:rPr>
          <w:rFonts w:ascii="Times New Roman" w:eastAsia="Times New Roman" w:hAnsi="Times New Roman" w:cs="Times New Roman"/>
          <w:sz w:val="24"/>
          <w:szCs w:val="24"/>
          <w:lang w:val="en-US"/>
        </w:rPr>
        <w:t>excluded for</w:t>
      </w:r>
      <w:r w:rsidRPr="0320F0AF">
        <w:rPr>
          <w:rFonts w:ascii="Times New Roman" w:eastAsia="Times New Roman" w:hAnsi="Times New Roman" w:cs="Times New Roman"/>
          <w:sz w:val="24"/>
          <w:szCs w:val="24"/>
          <w:lang w:val="en-US"/>
        </w:rPr>
        <w:t xml:space="preserve"> incomplete data or insufficient outcome reporting. Ultimately, 18 studies met </w:t>
      </w:r>
      <w:r w:rsidR="6FFF08E8" w:rsidRPr="0320F0AF">
        <w:rPr>
          <w:rFonts w:ascii="Times New Roman" w:eastAsia="Times New Roman" w:hAnsi="Times New Roman" w:cs="Times New Roman"/>
          <w:sz w:val="24"/>
          <w:szCs w:val="24"/>
          <w:lang w:val="en-US"/>
        </w:rPr>
        <w:t xml:space="preserve">the </w:t>
      </w:r>
      <w:r w:rsidRPr="0320F0AF">
        <w:rPr>
          <w:rFonts w:ascii="Times New Roman" w:eastAsia="Times New Roman" w:hAnsi="Times New Roman" w:cs="Times New Roman"/>
          <w:sz w:val="24"/>
          <w:szCs w:val="24"/>
          <w:lang w:val="en-US"/>
        </w:rPr>
        <w:t xml:space="preserve">inclusion criteria and were included in this integrative review. Discrepancies in study selection were resolved through independent review and consensus discussion, with additional critical appraisal </w:t>
      </w:r>
      <w:r w:rsidR="46E142EB" w:rsidRPr="0320F0AF">
        <w:rPr>
          <w:rFonts w:ascii="Times New Roman" w:eastAsia="Times New Roman" w:hAnsi="Times New Roman" w:cs="Times New Roman"/>
          <w:sz w:val="24"/>
          <w:szCs w:val="24"/>
          <w:lang w:val="en-US"/>
        </w:rPr>
        <w:t>conducted as needed</w:t>
      </w:r>
      <w:r w:rsidRPr="0320F0AF">
        <w:rPr>
          <w:rFonts w:ascii="Times New Roman" w:eastAsia="Times New Roman" w:hAnsi="Times New Roman" w:cs="Times New Roman"/>
          <w:sz w:val="24"/>
          <w:szCs w:val="24"/>
          <w:lang w:val="en-US"/>
        </w:rPr>
        <w:t xml:space="preserve"> to determine final inclusion. Figure 1 provides a visual representation of the literature search and study selection process.</w:t>
      </w:r>
    </w:p>
    <w:p w14:paraId="3E98C114" w14:textId="175C80A2" w:rsidR="5C147B13" w:rsidRDefault="5C147B13" w:rsidP="1CF5E637">
      <w:pPr>
        <w:spacing w:line="480" w:lineRule="auto"/>
        <w:contextualSpacing/>
        <w:rPr>
          <w:rFonts w:ascii="Times New Roman" w:eastAsia="Times New Roman" w:hAnsi="Times New Roman" w:cs="Times New Roman"/>
          <w:b/>
          <w:bCs/>
          <w:sz w:val="24"/>
          <w:szCs w:val="24"/>
          <w:lang w:val="en-US"/>
        </w:rPr>
      </w:pPr>
      <w:r w:rsidRPr="1CF5E637">
        <w:rPr>
          <w:rFonts w:ascii="Times New Roman" w:eastAsia="Times New Roman" w:hAnsi="Times New Roman" w:cs="Times New Roman"/>
          <w:b/>
          <w:bCs/>
          <w:sz w:val="24"/>
          <w:szCs w:val="24"/>
          <w:lang w:val="en-US"/>
        </w:rPr>
        <w:t xml:space="preserve">Inclusion and Exclusion Criteria </w:t>
      </w:r>
    </w:p>
    <w:p w14:paraId="70439ECF" w14:textId="4FDD28BB" w:rsidR="5C147B13" w:rsidRDefault="5C147B13"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Studies were included if they involved adult surgical patients (≥18 years) receiving intraoperative intravenous methadone and included </w:t>
      </w:r>
      <w:r w:rsidR="5130235F" w:rsidRPr="1CF5E637">
        <w:rPr>
          <w:rFonts w:ascii="Times New Roman" w:eastAsia="Times New Roman" w:hAnsi="Times New Roman" w:cs="Times New Roman"/>
          <w:sz w:val="24"/>
          <w:szCs w:val="24"/>
          <w:lang w:val="en-US"/>
        </w:rPr>
        <w:t>comparisons</w:t>
      </w:r>
      <w:r w:rsidRPr="1CF5E637">
        <w:rPr>
          <w:rFonts w:ascii="Times New Roman" w:eastAsia="Times New Roman" w:hAnsi="Times New Roman" w:cs="Times New Roman"/>
          <w:sz w:val="24"/>
          <w:szCs w:val="24"/>
          <w:lang w:val="en-US"/>
        </w:rPr>
        <w:t xml:space="preserve"> with short-acting opioids. Eligible studies were required to report quantitative outcomes related to postoperative pain intensity or postoperative opioid consumption. Pain outcomes were defined using patient-reported measures such as the Numeric Rating Scale (NRS) or Visual Analog Scale (VAS). </w:t>
      </w:r>
      <w:r w:rsidR="00AC6DB3" w:rsidRPr="1CF5E637">
        <w:rPr>
          <w:rFonts w:ascii="Times New Roman" w:eastAsia="Times New Roman" w:hAnsi="Times New Roman" w:cs="Times New Roman"/>
          <w:sz w:val="24"/>
          <w:szCs w:val="24"/>
          <w:lang w:val="en-US"/>
        </w:rPr>
        <w:t>Opioid consumption outcomes were extracted as reported in the included studies, most commonly as morphine milligram equivalents (MME), although reporting metrics and postoperative time points varied across studies.</w:t>
      </w:r>
    </w:p>
    <w:p w14:paraId="4E931A79" w14:textId="34694429" w:rsidR="003C7266" w:rsidRDefault="3F6F6F2D" w:rsidP="0320F0AF">
      <w:pPr>
        <w:spacing w:line="480" w:lineRule="auto"/>
        <w:ind w:firstLine="720"/>
        <w:contextualSpacing/>
        <w:rPr>
          <w:rFonts w:ascii="Aptos" w:eastAsia="Aptos" w:hAnsi="Aptos" w:cs="Times New Roman"/>
          <w:kern w:val="2"/>
          <w:sz w:val="24"/>
          <w:szCs w:val="24"/>
          <w:lang w:val="en-US"/>
          <w14:ligatures w14:val="standardContextual"/>
        </w:rPr>
      </w:pPr>
      <w:r w:rsidRPr="0320F0AF">
        <w:rPr>
          <w:rFonts w:ascii="Times New Roman" w:eastAsia="Times New Roman" w:hAnsi="Times New Roman" w:cs="Times New Roman"/>
          <w:sz w:val="24"/>
          <w:szCs w:val="24"/>
          <w:lang w:val="en-US"/>
        </w:rPr>
        <w:t>Eligible study designs included systematic reviews</w:t>
      </w:r>
      <w:r w:rsidR="2F4E460B" w:rsidRPr="0320F0AF">
        <w:rPr>
          <w:rFonts w:ascii="Times New Roman" w:eastAsia="Times New Roman" w:hAnsi="Times New Roman" w:cs="Times New Roman"/>
          <w:sz w:val="24"/>
          <w:szCs w:val="24"/>
          <w:lang w:val="en-US"/>
        </w:rPr>
        <w:t>, randomized controlled trials</w:t>
      </w:r>
      <w:r w:rsidR="64F4E754" w:rsidRPr="0320F0AF">
        <w:rPr>
          <w:rFonts w:ascii="Times New Roman" w:eastAsia="Times New Roman" w:hAnsi="Times New Roman" w:cs="Times New Roman"/>
          <w:sz w:val="24"/>
          <w:szCs w:val="24"/>
          <w:lang w:val="en-US"/>
        </w:rPr>
        <w:t>,</w:t>
      </w:r>
      <w:r w:rsidRPr="0320F0AF">
        <w:rPr>
          <w:rFonts w:ascii="Times New Roman" w:eastAsia="Times New Roman" w:hAnsi="Times New Roman" w:cs="Times New Roman"/>
          <w:sz w:val="24"/>
          <w:szCs w:val="24"/>
          <w:lang w:val="en-US"/>
        </w:rPr>
        <w:t xml:space="preserve"> and observational studies published between 2020 and 2025. Studies were limited to peer-reviewed </w:t>
      </w:r>
      <w:r w:rsidR="4DC71662" w:rsidRPr="0320F0AF">
        <w:rPr>
          <w:rFonts w:ascii="Times New Roman" w:eastAsia="Times New Roman" w:hAnsi="Times New Roman" w:cs="Times New Roman"/>
          <w:sz w:val="24"/>
          <w:szCs w:val="24"/>
          <w:lang w:val="en-US"/>
        </w:rPr>
        <w:t>English-language publications</w:t>
      </w:r>
      <w:r w:rsidRPr="0320F0AF">
        <w:rPr>
          <w:rFonts w:ascii="Times New Roman" w:eastAsia="Times New Roman" w:hAnsi="Times New Roman" w:cs="Times New Roman"/>
          <w:sz w:val="24"/>
          <w:szCs w:val="24"/>
          <w:lang w:val="en-US"/>
        </w:rPr>
        <w:t xml:space="preserve"> to ensure methodological quality and applicability to perioperative anesthesia practice.</w:t>
      </w:r>
      <w:r w:rsidR="53E9CE57" w:rsidRPr="0320F0AF">
        <w:rPr>
          <w:rFonts w:ascii="Times New Roman" w:eastAsia="Times New Roman" w:hAnsi="Times New Roman" w:cs="Times New Roman"/>
          <w:sz w:val="24"/>
          <w:szCs w:val="24"/>
          <w:lang w:val="en-US"/>
        </w:rPr>
        <w:t xml:space="preserve"> </w:t>
      </w:r>
      <w:r w:rsidRPr="0320F0AF">
        <w:rPr>
          <w:rFonts w:ascii="Times New Roman" w:eastAsia="Times New Roman" w:hAnsi="Times New Roman" w:cs="Times New Roman"/>
          <w:sz w:val="24"/>
          <w:szCs w:val="24"/>
          <w:lang w:val="en-US"/>
        </w:rPr>
        <w:t>Studies were excluded if they focused on pediatric populations, evaluated methadone outside of the intraoperative setting</w:t>
      </w:r>
      <w:r w:rsidR="051C0454" w:rsidRPr="0320F0AF">
        <w:rPr>
          <w:rFonts w:ascii="Times New Roman" w:eastAsia="Times New Roman" w:hAnsi="Times New Roman" w:cs="Times New Roman"/>
          <w:sz w:val="24"/>
          <w:szCs w:val="24"/>
          <w:lang w:val="en-US"/>
        </w:rPr>
        <w:t xml:space="preserve">, evaluated </w:t>
      </w:r>
      <w:r w:rsidRPr="0320F0AF">
        <w:rPr>
          <w:rFonts w:ascii="Times New Roman" w:eastAsia="Times New Roman" w:hAnsi="Times New Roman" w:cs="Times New Roman"/>
          <w:sz w:val="24"/>
          <w:szCs w:val="24"/>
          <w:lang w:val="en-US"/>
        </w:rPr>
        <w:t xml:space="preserve">oral </w:t>
      </w:r>
      <w:r w:rsidR="386776CB" w:rsidRPr="0320F0AF">
        <w:rPr>
          <w:rFonts w:ascii="Times New Roman" w:eastAsia="Times New Roman" w:hAnsi="Times New Roman" w:cs="Times New Roman"/>
          <w:sz w:val="24"/>
          <w:szCs w:val="24"/>
          <w:lang w:val="en-US"/>
        </w:rPr>
        <w:t xml:space="preserve">methadone exclusively, </w:t>
      </w:r>
      <w:r w:rsidRPr="0320F0AF">
        <w:rPr>
          <w:rFonts w:ascii="Times New Roman" w:eastAsia="Times New Roman" w:hAnsi="Times New Roman" w:cs="Times New Roman"/>
          <w:sz w:val="24"/>
          <w:szCs w:val="24"/>
          <w:lang w:val="en-US"/>
        </w:rPr>
        <w:t xml:space="preserve">or failed to report relevant postoperative outcomes. Non-empirical publications, including </w:t>
      </w:r>
      <w:r w:rsidRPr="0320F0AF">
        <w:rPr>
          <w:rFonts w:ascii="Times New Roman" w:eastAsia="Times New Roman" w:hAnsi="Times New Roman" w:cs="Times New Roman"/>
          <w:sz w:val="24"/>
          <w:szCs w:val="24"/>
          <w:lang w:val="en-US"/>
        </w:rPr>
        <w:lastRenderedPageBreak/>
        <w:t xml:space="preserve">editorials, theoretical papers, and conference abstracts, were excluded due to </w:t>
      </w:r>
      <w:r w:rsidR="2503AD29" w:rsidRPr="0320F0AF">
        <w:rPr>
          <w:rFonts w:ascii="Times New Roman" w:eastAsia="Times New Roman" w:hAnsi="Times New Roman" w:cs="Times New Roman"/>
          <w:sz w:val="24"/>
          <w:szCs w:val="24"/>
          <w:lang w:val="en-US"/>
        </w:rPr>
        <w:t xml:space="preserve">a </w:t>
      </w:r>
      <w:r w:rsidRPr="0320F0AF">
        <w:rPr>
          <w:rFonts w:ascii="Times New Roman" w:eastAsia="Times New Roman" w:hAnsi="Times New Roman" w:cs="Times New Roman"/>
          <w:sz w:val="24"/>
          <w:szCs w:val="24"/>
          <w:lang w:val="en-US"/>
        </w:rPr>
        <w:t xml:space="preserve">lack of clinically applicable data. </w:t>
      </w:r>
      <w:r w:rsidR="76B35BE8" w:rsidRPr="0320F0AF">
        <w:rPr>
          <w:rFonts w:ascii="Times New Roman" w:eastAsia="Times New Roman" w:hAnsi="Times New Roman" w:cs="Times New Roman"/>
          <w:sz w:val="24"/>
          <w:szCs w:val="24"/>
          <w:lang w:val="en-US"/>
        </w:rPr>
        <w:t>A pharmacologic reference source was also consulted to support interpretation of methadone’s mechanistic properties; however, it was not included as part of the empirical literature sample (Brown et al., 2025).</w:t>
      </w:r>
      <w:r w:rsidR="5C147B13" w:rsidRPr="0320F0AF">
        <w:rPr>
          <w:rFonts w:ascii="Aptos" w:eastAsia="Aptos" w:hAnsi="Aptos" w:cs="Times New Roman"/>
          <w:sz w:val="24"/>
          <w:szCs w:val="24"/>
          <w:lang w:val="en-US"/>
        </w:rPr>
        <w:br w:type="page"/>
      </w:r>
    </w:p>
    <w:p w14:paraId="57AAC285" w14:textId="5DA2EE0C" w:rsidR="003C7266" w:rsidRPr="003C7266" w:rsidRDefault="003C7266" w:rsidP="003C7266">
      <w:pPr>
        <w:spacing w:after="160" w:line="278" w:lineRule="auto"/>
        <w:rPr>
          <w:rFonts w:ascii="Aptos" w:eastAsia="Aptos" w:hAnsi="Aptos" w:cs="Times New Roman"/>
          <w:kern w:val="2"/>
          <w:sz w:val="24"/>
          <w:szCs w:val="24"/>
          <w:lang w:val="en-US"/>
          <w14:ligatures w14:val="standardContextual"/>
        </w:rPr>
      </w:pPr>
      <w:r w:rsidRPr="003C7266">
        <w:rPr>
          <w:rFonts w:ascii="Aptos" w:eastAsia="Aptos" w:hAnsi="Aptos" w:cs="Times New Roman"/>
          <w:noProof/>
          <w:kern w:val="2"/>
          <w:sz w:val="24"/>
          <w:szCs w:val="24"/>
          <w:lang w:val="en-US"/>
          <w14:ligatures w14:val="standardContextual"/>
        </w:rPr>
        <w:lastRenderedPageBreak/>
        <mc:AlternateContent>
          <mc:Choice Requires="wps">
            <w:drawing>
              <wp:anchor distT="0" distB="0" distL="114300" distR="114300" simplePos="0" relativeHeight="251659264" behindDoc="0" locked="0" layoutInCell="1" allowOverlap="1" wp14:anchorId="66A49203" wp14:editId="5541BDB0">
                <wp:simplePos x="0" y="0"/>
                <wp:positionH relativeFrom="column">
                  <wp:posOffset>81481</wp:posOffset>
                </wp:positionH>
                <wp:positionV relativeFrom="paragraph">
                  <wp:posOffset>72428</wp:posOffset>
                </wp:positionV>
                <wp:extent cx="2820419" cy="1394233"/>
                <wp:effectExtent l="0" t="0" r="18415" b="15875"/>
                <wp:wrapNone/>
                <wp:docPr id="1347854873" name="Rectangle 1"/>
                <wp:cNvGraphicFramePr/>
                <a:graphic xmlns:a="http://schemas.openxmlformats.org/drawingml/2006/main">
                  <a:graphicData uri="http://schemas.microsoft.com/office/word/2010/wordprocessingShape">
                    <wps:wsp>
                      <wps:cNvSpPr/>
                      <wps:spPr>
                        <a:xfrm>
                          <a:off x="0" y="0"/>
                          <a:ext cx="2820419" cy="1394233"/>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21AE8D51" w14:textId="03CECB7D"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 Identified for retrieval (n =</w:t>
                            </w:r>
                            <w:r w:rsidR="005D598F">
                              <w:rPr>
                                <w:rStyle w:val="normaltextrun"/>
                              </w:rPr>
                              <w:t xml:space="preserve"> </w:t>
                            </w:r>
                            <w:r w:rsidRPr="003C7266">
                              <w:rPr>
                                <w:rStyle w:val="normaltextrun"/>
                              </w:rPr>
                              <w:t>314)</w:t>
                            </w:r>
                          </w:p>
                          <w:p w14:paraId="40701A3E" w14:textId="1BC0C056"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PubMed</w:t>
                            </w:r>
                            <w:r w:rsidR="005D598F">
                              <w:rPr>
                                <w:rStyle w:val="normaltextrun"/>
                              </w:rPr>
                              <w:t xml:space="preserve"> </w:t>
                            </w:r>
                            <w:r w:rsidRPr="003C7266">
                              <w:rPr>
                                <w:rStyle w:val="normaltextrun"/>
                              </w:rPr>
                              <w:t>(n =</w:t>
                            </w:r>
                            <w:r w:rsidR="005D598F">
                              <w:rPr>
                                <w:rStyle w:val="normaltextrun"/>
                              </w:rPr>
                              <w:t xml:space="preserve"> </w:t>
                            </w:r>
                            <w:r w:rsidRPr="003C7266">
                              <w:rPr>
                                <w:rStyle w:val="normaltextrun"/>
                              </w:rPr>
                              <w:t>73)</w:t>
                            </w:r>
                          </w:p>
                          <w:p w14:paraId="27AB90BF" w14:textId="19B18CCB"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CINAHL (n =</w:t>
                            </w:r>
                            <w:r w:rsidR="005D598F">
                              <w:rPr>
                                <w:rStyle w:val="normaltextrun"/>
                              </w:rPr>
                              <w:t xml:space="preserve"> </w:t>
                            </w:r>
                            <w:r w:rsidRPr="003C7266">
                              <w:rPr>
                                <w:rStyle w:val="normaltextrun"/>
                              </w:rPr>
                              <w:t>19)</w:t>
                            </w:r>
                          </w:p>
                          <w:p w14:paraId="7BDCA927" w14:textId="14C64F43"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MEDLINE (n =</w:t>
                            </w:r>
                            <w:r w:rsidR="005D598F">
                              <w:rPr>
                                <w:rStyle w:val="normaltextrun"/>
                              </w:rPr>
                              <w:t xml:space="preserve"> </w:t>
                            </w:r>
                            <w:r w:rsidRPr="003C7266">
                              <w:rPr>
                                <w:rStyle w:val="normaltextrun"/>
                              </w:rPr>
                              <w:t>87)</w:t>
                            </w:r>
                          </w:p>
                          <w:p w14:paraId="5B523F18" w14:textId="7CBA45A1"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Science Direct (n =</w:t>
                            </w:r>
                            <w:r w:rsidR="005D598F">
                              <w:rPr>
                                <w:rStyle w:val="normaltextrun"/>
                              </w:rPr>
                              <w:t xml:space="preserve"> </w:t>
                            </w:r>
                            <w:r w:rsidRPr="003C7266">
                              <w:rPr>
                                <w:rStyle w:val="normaltextrun"/>
                              </w:rPr>
                              <w:t>41)</w:t>
                            </w:r>
                          </w:p>
                          <w:p w14:paraId="7D4B545B" w14:textId="650E8DA7" w:rsidR="003C7266" w:rsidRPr="003B475C"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Wiley Online Library (n =</w:t>
                            </w:r>
                            <w:r w:rsidR="005D598F">
                              <w:rPr>
                                <w:rStyle w:val="normaltextrun"/>
                              </w:rPr>
                              <w:t xml:space="preserve"> </w:t>
                            </w:r>
                            <w:r w:rsidRPr="003C7266">
                              <w:rPr>
                                <w:rStyle w:val="normaltextrun"/>
                              </w:rPr>
                              <w:t>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Rectangle 1" style="position:absolute;margin-left:6.4pt;margin-top:5.7pt;width:222.1pt;height:10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ccff5" strokecolor="#0f9ed5" strokeweight=".5pt" w14:anchorId="66A49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">
                <v:fill type="gradient" color2="#79beed" colors="0 #9ccff5;.5 #8fc4eb;1 #79beed" focus="100%" rotate="t">
                  <o:fill v:ext="view" type="gradientUnscaled"/>
                </v:fill>
                <v:textbox>
                  <w:txbxContent>
                    <w:p w:rsidR="003C7266" w:rsidP="003C7266" w:rsidRDefault="003C7266" w14:paraId="21AE8D51" w14:textId="03CECB7D">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 Identified for retrieval (n =</w:t>
                      </w:r>
                      <w:r w:rsidR="005D598F">
                        <w:rPr>
                          <w:rStyle w:val="normaltextrun"/>
                        </w:rPr>
                        <w:t xml:space="preserve"> </w:t>
                      </w:r>
                      <w:r w:rsidRPr="003C7266">
                        <w:rPr>
                          <w:rStyle w:val="normaltextrun"/>
                        </w:rPr>
                        <w:t>314)</w:t>
                      </w:r>
                    </w:p>
                    <w:p w:rsidR="003C7266" w:rsidP="003C7266" w:rsidRDefault="003C7266" w14:paraId="40701A3E" w14:textId="1BC0C05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PubMed</w:t>
                      </w:r>
                      <w:r w:rsidR="005D598F">
                        <w:rPr>
                          <w:rStyle w:val="normaltextrun"/>
                        </w:rPr>
                        <w:t xml:space="preserve"> </w:t>
                      </w:r>
                      <w:r w:rsidRPr="003C7266">
                        <w:rPr>
                          <w:rStyle w:val="normaltextrun"/>
                        </w:rPr>
                        <w:t>(n =</w:t>
                      </w:r>
                      <w:r w:rsidR="005D598F">
                        <w:rPr>
                          <w:rStyle w:val="normaltextrun"/>
                        </w:rPr>
                        <w:t xml:space="preserve"> </w:t>
                      </w:r>
                      <w:r w:rsidRPr="003C7266">
                        <w:rPr>
                          <w:rStyle w:val="normaltextrun"/>
                        </w:rPr>
                        <w:t>73)</w:t>
                      </w:r>
                    </w:p>
                    <w:p w:rsidR="003C7266" w:rsidP="003C7266" w:rsidRDefault="003C7266" w14:paraId="27AB90BF" w14:textId="19B18CCB">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CINAHL (n =</w:t>
                      </w:r>
                      <w:r w:rsidR="005D598F">
                        <w:rPr>
                          <w:rStyle w:val="normaltextrun"/>
                        </w:rPr>
                        <w:t xml:space="preserve"> </w:t>
                      </w:r>
                      <w:r w:rsidRPr="003C7266">
                        <w:rPr>
                          <w:rStyle w:val="normaltextrun"/>
                        </w:rPr>
                        <w:t>19)</w:t>
                      </w:r>
                    </w:p>
                    <w:p w:rsidR="003C7266" w:rsidP="003C7266" w:rsidRDefault="003C7266" w14:paraId="7BDCA927" w14:textId="14C64F43">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MEDLINE (n =</w:t>
                      </w:r>
                      <w:r w:rsidR="005D598F">
                        <w:rPr>
                          <w:rStyle w:val="normaltextrun"/>
                        </w:rPr>
                        <w:t xml:space="preserve"> </w:t>
                      </w:r>
                      <w:r w:rsidRPr="003C7266">
                        <w:rPr>
                          <w:rStyle w:val="normaltextrun"/>
                        </w:rPr>
                        <w:t>87)</w:t>
                      </w:r>
                    </w:p>
                    <w:p w:rsidR="003C7266" w:rsidP="003C7266" w:rsidRDefault="003C7266" w14:paraId="5B523F18" w14:textId="7CBA45A1">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Science Direct (n =</w:t>
                      </w:r>
                      <w:r w:rsidR="005D598F">
                        <w:rPr>
                          <w:rStyle w:val="normaltextrun"/>
                        </w:rPr>
                        <w:t xml:space="preserve"> </w:t>
                      </w:r>
                      <w:r w:rsidRPr="003C7266">
                        <w:rPr>
                          <w:rStyle w:val="normaltextrun"/>
                        </w:rPr>
                        <w:t>41)</w:t>
                      </w:r>
                    </w:p>
                    <w:p w:rsidRPr="003B475C" w:rsidR="003C7266" w:rsidP="003C7266" w:rsidRDefault="003C7266" w14:paraId="7D4B545B" w14:textId="650E8DA7">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Wiley Online Library (n =</w:t>
                      </w:r>
                      <w:r w:rsidR="005D598F">
                        <w:rPr>
                          <w:rStyle w:val="normaltextrun"/>
                        </w:rPr>
                        <w:t xml:space="preserve"> </w:t>
                      </w:r>
                      <w:r w:rsidRPr="003C7266">
                        <w:rPr>
                          <w:rStyle w:val="normaltextrun"/>
                        </w:rPr>
                        <w:t>94)</w:t>
                      </w:r>
                    </w:p>
                  </w:txbxContent>
                </v:textbox>
              </v:rect>
            </w:pict>
          </mc:Fallback>
        </mc:AlternateContent>
      </w:r>
    </w:p>
    <w:p w14:paraId="4CF53B69" w14:textId="77777777" w:rsidR="003C7266" w:rsidRPr="003C7266" w:rsidRDefault="003C7266" w:rsidP="003C7266">
      <w:pPr>
        <w:spacing w:after="160" w:line="278" w:lineRule="auto"/>
        <w:rPr>
          <w:rFonts w:ascii="Aptos" w:eastAsia="Aptos" w:hAnsi="Aptos" w:cs="Times New Roman"/>
          <w:kern w:val="2"/>
          <w:sz w:val="24"/>
          <w:szCs w:val="24"/>
          <w:lang w:val="en-US"/>
          <w14:ligatures w14:val="standardContextual"/>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0288" behindDoc="0" locked="0" layoutInCell="1" allowOverlap="1" wp14:anchorId="724FC073" wp14:editId="0FBA8C5C">
                <wp:simplePos x="0" y="0"/>
                <wp:positionH relativeFrom="column">
                  <wp:posOffset>3494638</wp:posOffset>
                </wp:positionH>
                <wp:positionV relativeFrom="paragraph">
                  <wp:posOffset>63382</wp:posOffset>
                </wp:positionV>
                <wp:extent cx="2980175" cy="706170"/>
                <wp:effectExtent l="0" t="0" r="10795" b="17780"/>
                <wp:wrapNone/>
                <wp:docPr id="1198131958" name="Rectangle 1"/>
                <wp:cNvGraphicFramePr/>
                <a:graphic xmlns:a="http://schemas.openxmlformats.org/drawingml/2006/main">
                  <a:graphicData uri="http://schemas.microsoft.com/office/word/2010/wordprocessingShape">
                    <wps:wsp>
                      <wps:cNvSpPr/>
                      <wps:spPr>
                        <a:xfrm>
                          <a:off x="0" y="0"/>
                          <a:ext cx="2980175" cy="706170"/>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106FAF0E" w14:textId="4016D66E" w:rsidR="003C7266" w:rsidRPr="003B475C"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w:t>
                            </w:r>
                            <w:r w:rsidR="005D598F">
                              <w:rPr>
                                <w:rStyle w:val="normaltextrun"/>
                              </w:rPr>
                              <w:t xml:space="preserve"> </w:t>
                            </w:r>
                            <w:r w:rsidRPr="003C7266">
                              <w:rPr>
                                <w:rStyle w:val="normaltextrun"/>
                              </w:rPr>
                              <w:t>removed</w:t>
                            </w:r>
                            <w:r w:rsidR="005D598F">
                              <w:rPr>
                                <w:rStyle w:val="normaltextrun"/>
                              </w:rPr>
                              <w:t xml:space="preserve"> </w:t>
                            </w:r>
                            <w:r w:rsidRPr="003C7266">
                              <w:rPr>
                                <w:rStyle w:val="normaltextrun"/>
                              </w:rPr>
                              <w:t>before screening (n =</w:t>
                            </w:r>
                            <w:r w:rsidR="005D598F">
                              <w:rPr>
                                <w:rStyle w:val="normaltextrun"/>
                              </w:rPr>
                              <w:t xml:space="preserve"> </w:t>
                            </w:r>
                            <w:r w:rsidRPr="003C7266">
                              <w:rPr>
                                <w:rStyle w:val="normaltextrun"/>
                              </w:rPr>
                              <w:t>202)</w:t>
                            </w:r>
                          </w:p>
                          <w:p w14:paraId="279B5BE4" w14:textId="77777777" w:rsidR="003C7266"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Duplicate records, pediatric, non-human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27" style="position:absolute;margin-left:275.15pt;margin-top:5pt;width:234.65pt;height:5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724FC0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">
                <v:fill type="gradient" color2="#79beed" colors="0 #9ccff5;.5 #8fc4eb;1 #79beed" focus="100%" rotate="t">
                  <o:fill v:ext="view" type="gradientUnscaled"/>
                </v:fill>
                <v:textbox>
                  <w:txbxContent>
                    <w:p w:rsidRPr="003B475C" w:rsidR="003C7266" w:rsidP="003C7266" w:rsidRDefault="003C7266" w14:paraId="106FAF0E" w14:textId="4016D66E">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w:t>
                      </w:r>
                      <w:r w:rsidR="005D598F">
                        <w:rPr>
                          <w:rStyle w:val="normaltextrun"/>
                        </w:rPr>
                        <w:t xml:space="preserve"> </w:t>
                      </w:r>
                      <w:r w:rsidRPr="003C7266">
                        <w:rPr>
                          <w:rStyle w:val="normaltextrun"/>
                        </w:rPr>
                        <w:t>removed</w:t>
                      </w:r>
                      <w:r w:rsidR="005D598F">
                        <w:rPr>
                          <w:rStyle w:val="normaltextrun"/>
                        </w:rPr>
                        <w:t xml:space="preserve"> </w:t>
                      </w:r>
                      <w:r w:rsidRPr="003C7266">
                        <w:rPr>
                          <w:rStyle w:val="normaltextrun"/>
                        </w:rPr>
                        <w:t>before screening (n =</w:t>
                      </w:r>
                      <w:r w:rsidR="005D598F">
                        <w:rPr>
                          <w:rStyle w:val="normaltextrun"/>
                        </w:rPr>
                        <w:t xml:space="preserve"> </w:t>
                      </w:r>
                      <w:r w:rsidRPr="003C7266">
                        <w:rPr>
                          <w:rStyle w:val="normaltextrun"/>
                        </w:rPr>
                        <w:t>202)</w:t>
                      </w:r>
                    </w:p>
                    <w:p w:rsidR="003C7266" w:rsidP="003C7266" w:rsidRDefault="003C7266" w14:paraId="279B5BE4" w14:textId="77777777">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Duplicate records, pediatric, non-human studies</w:t>
                      </w:r>
                    </w:p>
                  </w:txbxContent>
                </v:textbox>
              </v:rect>
            </w:pict>
          </mc:Fallback>
        </mc:AlternateContent>
      </w:r>
    </w:p>
    <w:p w14:paraId="76F515D7" w14:textId="05C8488A" w:rsidR="003C7266" w:rsidRPr="003C7266" w:rsidRDefault="003C7266" w:rsidP="003C7266">
      <w:pPr>
        <w:spacing w:after="160" w:line="278" w:lineRule="auto"/>
        <w:rPr>
          <w:rFonts w:ascii="Aptos" w:eastAsia="Aptos" w:hAnsi="Aptos" w:cs="Times New Roman"/>
          <w:kern w:val="2"/>
          <w:sz w:val="24"/>
          <w:szCs w:val="24"/>
          <w:lang w:val="en-US"/>
          <w14:ligatures w14:val="standardContextual"/>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4624" behindDoc="0" locked="0" layoutInCell="1" allowOverlap="1" wp14:anchorId="0C131161" wp14:editId="0CDE059C">
                <wp:simplePos x="0" y="0"/>
                <wp:positionH relativeFrom="column">
                  <wp:posOffset>2906099</wp:posOffset>
                </wp:positionH>
                <wp:positionV relativeFrom="paragraph">
                  <wp:posOffset>129723</wp:posOffset>
                </wp:positionV>
                <wp:extent cx="588663" cy="0"/>
                <wp:effectExtent l="0" t="50800" r="0" b="76200"/>
                <wp:wrapNone/>
                <wp:docPr id="1908801016" name="Straight Arrow Connector 21"/>
                <wp:cNvGraphicFramePr/>
                <a:graphic xmlns:a="http://schemas.openxmlformats.org/drawingml/2006/main">
                  <a:graphicData uri="http://schemas.microsoft.com/office/word/2010/wordprocessingShape">
                    <wps:wsp>
                      <wps:cNvCnPr/>
                      <wps:spPr>
                        <a:xfrm>
                          <a:off x="0" y="0"/>
                          <a:ext cx="58866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type id="_x0000_t32" coordsize="21600,21600" o:oned="t" filled="f" o:spt="32" path="m,l21600,21600e" w14:anchorId="738997D3">
                <v:path fillok="f" arrowok="t" o:connecttype="none"/>
                <o:lock v:ext="edit" shapetype="t"/>
              </v:shapetype>
              <v:shape id="Straight Arrow Connector 21" style="position:absolute;margin-left:228.85pt;margin-top:10.2pt;width:46.35pt;height:0;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">
                <v:stroke joinstyle="miter" endarrow="block"/>
              </v:shape>
            </w:pict>
          </mc:Fallback>
        </mc:AlternateContent>
      </w: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3600" behindDoc="0" locked="0" layoutInCell="1" allowOverlap="1" wp14:anchorId="3BB12C35" wp14:editId="5B96C8F4">
                <wp:simplePos x="0" y="0"/>
                <wp:positionH relativeFrom="column">
                  <wp:posOffset>1352811</wp:posOffset>
                </wp:positionH>
                <wp:positionV relativeFrom="paragraph">
                  <wp:posOffset>853840</wp:posOffset>
                </wp:positionV>
                <wp:extent cx="870" cy="440803"/>
                <wp:effectExtent l="63500" t="0" r="50165" b="29210"/>
                <wp:wrapNone/>
                <wp:docPr id="428296506" name="Straight Arrow Connector 20"/>
                <wp:cNvGraphicFramePr/>
                <a:graphic xmlns:a="http://schemas.openxmlformats.org/drawingml/2006/main">
                  <a:graphicData uri="http://schemas.microsoft.com/office/word/2010/wordprocessingShape">
                    <wps:wsp>
                      <wps:cNvCnPr/>
                      <wps:spPr>
                        <a:xfrm>
                          <a:off x="0" y="0"/>
                          <a:ext cx="870" cy="44080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vg="http://schemas.microsoft.com/office/drawing/2016/SVG/main" xmlns:pic="http://schemas.openxmlformats.org/drawingml/2006/picture">
            <w:pict>
              <v:shape id="Straight Arrow Connector 20" style="position:absolute;margin-left:106.5pt;margin-top:67.25pt;width:.05pt;height:3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" w14:anchorId="43BCCE23">
                <v:stroke joinstyle="miter" endarrow="block"/>
              </v:shape>
            </w:pict>
          </mc:Fallback>
        </mc:AlternateContent>
      </w: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2576" behindDoc="0" locked="0" layoutInCell="1" allowOverlap="1" wp14:anchorId="6641EBF8" wp14:editId="154DE9E5">
                <wp:simplePos x="0" y="0"/>
                <wp:positionH relativeFrom="column">
                  <wp:posOffset>1353680</wp:posOffset>
                </wp:positionH>
                <wp:positionV relativeFrom="paragraph">
                  <wp:posOffset>3637010</wp:posOffset>
                </wp:positionV>
                <wp:extent cx="2141081" cy="0"/>
                <wp:effectExtent l="0" t="63500" r="0" b="76200"/>
                <wp:wrapNone/>
                <wp:docPr id="1691592797" name="Straight Arrow Connector 19"/>
                <wp:cNvGraphicFramePr/>
                <a:graphic xmlns:a="http://schemas.openxmlformats.org/drawingml/2006/main">
                  <a:graphicData uri="http://schemas.microsoft.com/office/word/2010/wordprocessingShape">
                    <wps:wsp>
                      <wps:cNvCnPr/>
                      <wps:spPr>
                        <a:xfrm>
                          <a:off x="0" y="0"/>
                          <a:ext cx="214108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19" style="position:absolute;margin-left:106.6pt;margin-top:286.4pt;width:168.6pt;height:0;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" w14:anchorId="12E47689">
                <v:stroke joinstyle="miter" endarrow="block"/>
              </v:shape>
            </w:pict>
          </mc:Fallback>
        </mc:AlternateContent>
      </w: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9504" behindDoc="0" locked="0" layoutInCell="1" allowOverlap="1" wp14:anchorId="22A6F6C0" wp14:editId="10C25D64">
                <wp:simplePos x="0" y="0"/>
                <wp:positionH relativeFrom="column">
                  <wp:posOffset>1357860</wp:posOffset>
                </wp:positionH>
                <wp:positionV relativeFrom="paragraph">
                  <wp:posOffset>2338705</wp:posOffset>
                </wp:positionV>
                <wp:extent cx="2132500" cy="0"/>
                <wp:effectExtent l="0" t="63500" r="1270" b="63500"/>
                <wp:wrapNone/>
                <wp:docPr id="698570019" name="Straight Arrow Connector 11"/>
                <wp:cNvGraphicFramePr/>
                <a:graphic xmlns:a="http://schemas.openxmlformats.org/drawingml/2006/main">
                  <a:graphicData uri="http://schemas.microsoft.com/office/word/2010/wordprocessingShape">
                    <wps:wsp>
                      <wps:cNvCnPr/>
                      <wps:spPr>
                        <a:xfrm>
                          <a:off x="0" y="0"/>
                          <a:ext cx="21325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11" style="position:absolute;margin-left:106.9pt;margin-top:184.15pt;width:167.9pt;height:0;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" w14:anchorId="3E91FA61">
                <v:stroke joinstyle="miter" endarrow="block"/>
              </v:shape>
            </w:pict>
          </mc:Fallback>
        </mc:AlternateContent>
      </w:r>
    </w:p>
    <w:p w14:paraId="3353CC1F" w14:textId="77777777" w:rsidR="003C7266" w:rsidRPr="003C7266" w:rsidRDefault="003C7266" w:rsidP="003C7266">
      <w:pPr>
        <w:spacing w:after="160" w:line="278" w:lineRule="auto"/>
        <w:rPr>
          <w:rFonts w:ascii="Aptos" w:eastAsia="Aptos" w:hAnsi="Aptos" w:cs="Times New Roman"/>
          <w:kern w:val="2"/>
          <w:sz w:val="24"/>
          <w:szCs w:val="24"/>
          <w:lang w:val="en-US"/>
          <w14:ligatures w14:val="standardContextual"/>
        </w:rPr>
      </w:pPr>
    </w:p>
    <w:p w14:paraId="30CA9435" w14:textId="4746E4E7" w:rsidR="003C7266" w:rsidRPr="003C7266" w:rsidRDefault="003C7266" w:rsidP="003C7266">
      <w:pPr>
        <w:spacing w:after="160" w:line="278" w:lineRule="auto"/>
        <w:rPr>
          <w:rFonts w:ascii="Aptos" w:eastAsia="Aptos" w:hAnsi="Aptos" w:cs="Times New Roman"/>
          <w:kern w:val="2"/>
          <w:sz w:val="24"/>
          <w:szCs w:val="24"/>
          <w:lang w:val="en-US"/>
          <w14:ligatures w14:val="standardContextual"/>
        </w:rPr>
      </w:pPr>
    </w:p>
    <w:p w14:paraId="11BD3195" w14:textId="23D68E14" w:rsidR="619A24EA" w:rsidRDefault="00E11992" w:rsidP="619A24EA">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1312" behindDoc="0" locked="0" layoutInCell="1" allowOverlap="1" wp14:anchorId="537ED5DE" wp14:editId="066519D6">
                <wp:simplePos x="0" y="0"/>
                <wp:positionH relativeFrom="column">
                  <wp:posOffset>72428</wp:posOffset>
                </wp:positionH>
                <wp:positionV relativeFrom="paragraph">
                  <wp:posOffset>342793</wp:posOffset>
                </wp:positionV>
                <wp:extent cx="2606857" cy="289711"/>
                <wp:effectExtent l="0" t="0" r="22225" b="15240"/>
                <wp:wrapNone/>
                <wp:docPr id="318944626" name="Rectangle 1"/>
                <wp:cNvGraphicFramePr/>
                <a:graphic xmlns:a="http://schemas.openxmlformats.org/drawingml/2006/main">
                  <a:graphicData uri="http://schemas.microsoft.com/office/word/2010/wordprocessingShape">
                    <wps:wsp>
                      <wps:cNvSpPr/>
                      <wps:spPr>
                        <a:xfrm>
                          <a:off x="0" y="0"/>
                          <a:ext cx="2606857" cy="289711"/>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062F3ADC" w14:textId="25130B87" w:rsidR="003C7266" w:rsidRPr="003B475C"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 screened</w:t>
                            </w:r>
                            <w:r w:rsidR="005D598F">
                              <w:rPr>
                                <w:rStyle w:val="eop"/>
                                <w:rFonts w:eastAsia="Times New Roman"/>
                              </w:rPr>
                              <w:t xml:space="preserve"> </w:t>
                            </w:r>
                            <w:r w:rsidRPr="003C7266">
                              <w:rPr>
                                <w:rStyle w:val="eop"/>
                                <w:rFonts w:eastAsia="Times New Roman"/>
                              </w:rPr>
                              <w:t>(n =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28" style="position:absolute;margin-left:5.7pt;margin-top:27pt;width:205.25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537ED5D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">
                <v:fill type="gradient" color2="#79beed" colors="0 #9ccff5;.5 #8fc4eb;1 #79beed" focus="100%" rotate="t">
                  <o:fill v:ext="view" type="gradientUnscaled"/>
                </v:fill>
                <v:textbox>
                  <w:txbxContent>
                    <w:p w:rsidRPr="003B475C" w:rsidR="003C7266" w:rsidP="003C7266" w:rsidRDefault="003C7266" w14:paraId="062F3ADC" w14:textId="25130B87">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Records screened</w:t>
                      </w:r>
                      <w:r w:rsidR="005D598F">
                        <w:rPr>
                          <w:rStyle w:val="eop"/>
                          <w:rFonts w:eastAsia="Times New Roman"/>
                        </w:rPr>
                        <w:t xml:space="preserve"> </w:t>
                      </w:r>
                      <w:r w:rsidRPr="003C7266">
                        <w:rPr>
                          <w:rStyle w:val="eop"/>
                          <w:rFonts w:eastAsia="Times New Roman"/>
                        </w:rPr>
                        <w:t>(n = 112)</w:t>
                      </w:r>
                    </w:p>
                  </w:txbxContent>
                </v:textbox>
              </v:rect>
            </w:pict>
          </mc:Fallback>
        </mc:AlternateContent>
      </w:r>
      <w:r w:rsidR="003C7266"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2336" behindDoc="0" locked="0" layoutInCell="1" allowOverlap="1" wp14:anchorId="2621C31A" wp14:editId="411CF647">
                <wp:simplePos x="0" y="0"/>
                <wp:positionH relativeFrom="column">
                  <wp:posOffset>3365626</wp:posOffset>
                </wp:positionH>
                <wp:positionV relativeFrom="paragraph">
                  <wp:posOffset>225098</wp:posOffset>
                </wp:positionV>
                <wp:extent cx="2750399" cy="606582"/>
                <wp:effectExtent l="0" t="0" r="12065" b="22225"/>
                <wp:wrapNone/>
                <wp:docPr id="165998041" name="Rectangle 1"/>
                <wp:cNvGraphicFramePr/>
                <a:graphic xmlns:a="http://schemas.openxmlformats.org/drawingml/2006/main">
                  <a:graphicData uri="http://schemas.microsoft.com/office/word/2010/wordprocessingShape">
                    <wps:wsp>
                      <wps:cNvSpPr/>
                      <wps:spPr>
                        <a:xfrm>
                          <a:off x="0" y="0"/>
                          <a:ext cx="2750399" cy="606582"/>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5E456278" w14:textId="77777777"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Excluded (n = 68)</w:t>
                            </w:r>
                          </w:p>
                          <w:p w14:paraId="26DF84DD" w14:textId="77777777"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 xml:space="preserve">Theoretical, book (chapters), short communication/notes, meeting notes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29" style="position:absolute;margin-left:265pt;margin-top:17.7pt;width:216.55pt;height:4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2621C31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">
                <v:fill type="gradient" color2="#79beed" colors="0 #9ccff5;.5 #8fc4eb;1 #79beed" focus="100%" rotate="t">
                  <o:fill v:ext="view" type="gradientUnscaled"/>
                </v:fill>
                <v:textbox>
                  <w:txbxContent>
                    <w:p w:rsidRPr="003C7266" w:rsidR="003C7266" w:rsidP="003C7266" w:rsidRDefault="003C7266" w14:paraId="5E456278" w14:textId="77777777">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Excluded (n = 68)</w:t>
                      </w:r>
                    </w:p>
                    <w:p w:rsidRPr="003C7266" w:rsidR="003C7266" w:rsidP="003C7266" w:rsidRDefault="003C7266" w14:paraId="26DF84DD" w14:textId="77777777">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 xml:space="preserve">Theoretical, book (chapters), short communication/notes, meeting notes </w:t>
                      </w:r>
                    </w:p>
                  </w:txbxContent>
                </v:textbox>
              </v:rect>
            </w:pict>
          </mc:Fallback>
        </mc:AlternateContent>
      </w:r>
    </w:p>
    <w:p w14:paraId="5CBAA7C7" w14:textId="684F545A" w:rsidR="003C7266" w:rsidRDefault="003C7266"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5648" behindDoc="0" locked="0" layoutInCell="1" allowOverlap="1" wp14:anchorId="53C098C2" wp14:editId="5B10F85D">
                <wp:simplePos x="0" y="0"/>
                <wp:positionH relativeFrom="margin">
                  <wp:posOffset>2682209</wp:posOffset>
                </wp:positionH>
                <wp:positionV relativeFrom="paragraph">
                  <wp:posOffset>178580</wp:posOffset>
                </wp:positionV>
                <wp:extent cx="686105" cy="0"/>
                <wp:effectExtent l="0" t="76200" r="19050" b="95250"/>
                <wp:wrapNone/>
                <wp:docPr id="895531884" name="Straight Arrow Connector 22"/>
                <wp:cNvGraphicFramePr/>
                <a:graphic xmlns:a="http://schemas.openxmlformats.org/drawingml/2006/main">
                  <a:graphicData uri="http://schemas.microsoft.com/office/word/2010/wordprocessingShape">
                    <wps:wsp>
                      <wps:cNvCnPr/>
                      <wps:spPr>
                        <a:xfrm>
                          <a:off x="0" y="0"/>
                          <a:ext cx="68610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22" style="position:absolute;margin-left:211.2pt;margin-top:14.05pt;width:54pt;height:0;z-index:251675648;visibility:visible;mso-wrap-style:square;mso-wrap-distance-left:9pt;mso-wrap-distance-top:0;mso-wrap-distance-right:9pt;mso-wrap-distance-bottom:0;mso-position-horizontal:absolute;mso-position-horizontal-relative:margin;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" w14:anchorId="58CF6EE9">
                <v:stroke joinstyle="miter" endarrow="block"/>
                <w10:wrap anchorx="margin"/>
              </v:shape>
            </w:pict>
          </mc:Fallback>
        </mc:AlternateContent>
      </w:r>
    </w:p>
    <w:p w14:paraId="0798BAFF" w14:textId="46657F73" w:rsidR="003C7266" w:rsidRDefault="003C7266"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8480" behindDoc="0" locked="0" layoutInCell="1" allowOverlap="1" wp14:anchorId="3D047157" wp14:editId="523CFF83">
                <wp:simplePos x="0" y="0"/>
                <wp:positionH relativeFrom="column">
                  <wp:posOffset>1358900</wp:posOffset>
                </wp:positionH>
                <wp:positionV relativeFrom="paragraph">
                  <wp:posOffset>13549</wp:posOffset>
                </wp:positionV>
                <wp:extent cx="0" cy="950945"/>
                <wp:effectExtent l="63500" t="0" r="38100" b="27305"/>
                <wp:wrapNone/>
                <wp:docPr id="1658689840" name="Straight Arrow Connector 10"/>
                <wp:cNvGraphicFramePr/>
                <a:graphic xmlns:a="http://schemas.openxmlformats.org/drawingml/2006/main">
                  <a:graphicData uri="http://schemas.microsoft.com/office/word/2010/wordprocessingShape">
                    <wps:wsp>
                      <wps:cNvCnPr/>
                      <wps:spPr>
                        <a:xfrm>
                          <a:off x="0" y="0"/>
                          <a:ext cx="0" cy="9509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10" style="position:absolute;margin-left:107pt;margin-top:1.05pt;width:0;height:74.9pt;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" w14:anchorId="74279FDC">
                <v:stroke joinstyle="miter" endarrow="block"/>
              </v:shape>
            </w:pict>
          </mc:Fallback>
        </mc:AlternateContent>
      </w:r>
    </w:p>
    <w:p w14:paraId="09FB310A" w14:textId="531BAFC4" w:rsidR="003C7266" w:rsidRDefault="003C7266"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4384" behindDoc="0" locked="0" layoutInCell="1" allowOverlap="1" wp14:anchorId="46314981" wp14:editId="3C8088BE">
                <wp:simplePos x="0" y="0"/>
                <wp:positionH relativeFrom="column">
                  <wp:posOffset>3493915</wp:posOffset>
                </wp:positionH>
                <wp:positionV relativeFrom="paragraph">
                  <wp:posOffset>6350</wp:posOffset>
                </wp:positionV>
                <wp:extent cx="2757189" cy="624689"/>
                <wp:effectExtent l="0" t="0" r="24130" b="23495"/>
                <wp:wrapNone/>
                <wp:docPr id="1599300076" name="Rectangle 1"/>
                <wp:cNvGraphicFramePr/>
                <a:graphic xmlns:a="http://schemas.openxmlformats.org/drawingml/2006/main">
                  <a:graphicData uri="http://schemas.microsoft.com/office/word/2010/wordprocessingShape">
                    <wps:wsp>
                      <wps:cNvSpPr/>
                      <wps:spPr>
                        <a:xfrm>
                          <a:off x="0" y="0"/>
                          <a:ext cx="2757189" cy="624689"/>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52034AC1" w14:textId="77777777" w:rsidR="003C7266" w:rsidRPr="003C7266" w:rsidRDefault="003C7266" w:rsidP="003C7266">
                            <w:pPr>
                              <w:pStyle w:val="paragraph"/>
                              <w:spacing w:before="0" w:beforeAutospacing="0" w:after="0" w:afterAutospacing="0"/>
                              <w:jc w:val="center"/>
                              <w:textAlignment w:val="baseline"/>
                              <w:rPr>
                                <w:rStyle w:val="normaltextrun"/>
                                <w:color w:val="000000"/>
                              </w:rPr>
                            </w:pPr>
                            <w:r w:rsidRPr="003C7266">
                              <w:rPr>
                                <w:rStyle w:val="normaltextrun"/>
                                <w:color w:val="000000"/>
                              </w:rPr>
                              <w:t>Excluded (n = 18)</w:t>
                            </w:r>
                          </w:p>
                          <w:p w14:paraId="6357BAC2" w14:textId="3EADDD3D"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Not relevant after title and abstract reviewed</w:t>
                            </w:r>
                            <w:r w:rsidR="005D598F">
                              <w:rPr>
                                <w:rStyle w:val="normaltextrun"/>
                                <w:color w:val="000000"/>
                              </w:rPr>
                              <w:t xml:space="preserve"> </w:t>
                            </w:r>
                          </w:p>
                          <w:p w14:paraId="37A48CDA" w14:textId="2D7A84E1" w:rsidR="003C7266" w:rsidRPr="003C7266" w:rsidRDefault="005D598F" w:rsidP="003C7266">
                            <w:pPr>
                              <w:pStyle w:val="paragraph"/>
                              <w:spacing w:before="0" w:beforeAutospacing="0" w:after="0" w:afterAutospacing="0"/>
                              <w:textAlignment w:val="baseline"/>
                              <w:rPr>
                                <w:rFonts w:ascii="Segoe UI" w:hAnsi="Segoe UI" w:cs="Segoe UI"/>
                                <w:color w:val="000000"/>
                                <w:sz w:val="18"/>
                                <w:szCs w:val="18"/>
                              </w:rPr>
                            </w:pPr>
                            <w:r>
                              <w:rPr>
                                <w:rStyle w:val="eop"/>
                                <w:rFonts w:eastAsia="Times New Roman"/>
                                <w:color w:val="000000"/>
                              </w:rPr>
                              <w:t xml:space="preserve"> </w:t>
                            </w:r>
                          </w:p>
                          <w:p w14:paraId="3EBC6202" w14:textId="77777777"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30" style="position:absolute;margin-left:275.1pt;margin-top:.5pt;width:217.1pt;height:4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463149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">
                <v:fill type="gradient" color2="#79beed" colors="0 #9ccff5;.5 #8fc4eb;1 #79beed" focus="100%" rotate="t">
                  <o:fill v:ext="view" type="gradientUnscaled"/>
                </v:fill>
                <v:textbox>
                  <w:txbxContent>
                    <w:p w:rsidRPr="003C7266" w:rsidR="003C7266" w:rsidP="003C7266" w:rsidRDefault="003C7266" w14:paraId="52034AC1" w14:textId="77777777">
                      <w:pPr>
                        <w:pStyle w:val="paragraph"/>
                        <w:spacing w:before="0" w:beforeAutospacing="0" w:after="0" w:afterAutospacing="0"/>
                        <w:jc w:val="center"/>
                        <w:textAlignment w:val="baseline"/>
                        <w:rPr>
                          <w:rStyle w:val="normaltextrun"/>
                          <w:color w:val="000000"/>
                        </w:rPr>
                      </w:pPr>
                      <w:r w:rsidRPr="003C7266">
                        <w:rPr>
                          <w:rStyle w:val="normaltextrun"/>
                          <w:color w:val="000000"/>
                        </w:rPr>
                        <w:t>Excluded (n = 18)</w:t>
                      </w:r>
                    </w:p>
                    <w:p w:rsidRPr="003C7266" w:rsidR="003C7266" w:rsidP="003C7266" w:rsidRDefault="003C7266" w14:paraId="6357BAC2" w14:textId="3EADDD3D">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Not relevant after title and abstract reviewed</w:t>
                      </w:r>
                      <w:r w:rsidR="005D598F">
                        <w:rPr>
                          <w:rStyle w:val="normaltextrun"/>
                          <w:color w:val="000000"/>
                        </w:rPr>
                        <w:t xml:space="preserve"> </w:t>
                      </w:r>
                    </w:p>
                    <w:p w:rsidRPr="003C7266" w:rsidR="003C7266" w:rsidP="003C7266" w:rsidRDefault="005D598F" w14:paraId="37A48CDA" w14:textId="2D7A84E1">
                      <w:pPr>
                        <w:pStyle w:val="paragraph"/>
                        <w:spacing w:before="0" w:beforeAutospacing="0" w:after="0" w:afterAutospacing="0"/>
                        <w:textAlignment w:val="baseline"/>
                        <w:rPr>
                          <w:rFonts w:ascii="Segoe UI" w:hAnsi="Segoe UI" w:cs="Segoe UI"/>
                          <w:color w:val="000000"/>
                          <w:sz w:val="18"/>
                          <w:szCs w:val="18"/>
                        </w:rPr>
                      </w:pPr>
                      <w:r>
                        <w:rPr>
                          <w:rStyle w:val="eop"/>
                          <w:rFonts w:eastAsia="Times New Roman"/>
                          <w:color w:val="000000"/>
                        </w:rPr>
                        <w:t xml:space="preserve"> </w:t>
                      </w:r>
                    </w:p>
                    <w:p w:rsidRPr="003C7266" w:rsidR="003C7266" w:rsidP="003C7266" w:rsidRDefault="003C7266" w14:paraId="3EBC6202" w14:textId="77777777">
                      <w:pPr>
                        <w:pStyle w:val="paragraph"/>
                        <w:spacing w:before="0" w:beforeAutospacing="0" w:after="0" w:afterAutospacing="0"/>
                        <w:jc w:val="center"/>
                        <w:textAlignment w:val="baseline"/>
                        <w:rPr>
                          <w:rFonts w:ascii="Segoe UI" w:hAnsi="Segoe UI" w:cs="Segoe UI"/>
                          <w:color w:val="000000"/>
                          <w:sz w:val="18"/>
                          <w:szCs w:val="18"/>
                        </w:rPr>
                      </w:pPr>
                    </w:p>
                  </w:txbxContent>
                </v:textbox>
              </v:rect>
            </w:pict>
          </mc:Fallback>
        </mc:AlternateContent>
      </w:r>
    </w:p>
    <w:p w14:paraId="616BD847" w14:textId="77777777" w:rsidR="003C7266" w:rsidRDefault="003C7266" w:rsidP="38688B0C">
      <w:pPr>
        <w:spacing w:line="480" w:lineRule="auto"/>
        <w:rPr>
          <w:rFonts w:ascii="Times New Roman" w:eastAsia="Times New Roman" w:hAnsi="Times New Roman" w:cs="Times New Roman"/>
          <w:b/>
          <w:bCs/>
          <w:sz w:val="24"/>
          <w:szCs w:val="24"/>
          <w:lang w:val="en-US"/>
        </w:rPr>
      </w:pPr>
    </w:p>
    <w:p w14:paraId="0ABF0802" w14:textId="453E30E8" w:rsidR="003C7266" w:rsidRDefault="003C7266"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3360" behindDoc="0" locked="0" layoutInCell="1" allowOverlap="1" wp14:anchorId="1FF58398" wp14:editId="35B674D1">
                <wp:simplePos x="0" y="0"/>
                <wp:positionH relativeFrom="column">
                  <wp:posOffset>99588</wp:posOffset>
                </wp:positionH>
                <wp:positionV relativeFrom="paragraph">
                  <wp:posOffset>11586</wp:posOffset>
                </wp:positionV>
                <wp:extent cx="2697933" cy="389299"/>
                <wp:effectExtent l="0" t="0" r="26670" b="10795"/>
                <wp:wrapNone/>
                <wp:docPr id="115440632" name="Rectangle 1"/>
                <wp:cNvGraphicFramePr/>
                <a:graphic xmlns:a="http://schemas.openxmlformats.org/drawingml/2006/main">
                  <a:graphicData uri="http://schemas.microsoft.com/office/word/2010/wordprocessingShape">
                    <wps:wsp>
                      <wps:cNvSpPr/>
                      <wps:spPr>
                        <a:xfrm>
                          <a:off x="0" y="0"/>
                          <a:ext cx="2697933" cy="389299"/>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4AAE5EE7" w14:textId="77777777" w:rsidR="003C7266" w:rsidRPr="003B475C"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Titles and abstracts screened (n = 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31" style="position:absolute;margin-left:7.85pt;margin-top:.9pt;width:212.45pt;height:3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1FF583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">
                <v:fill type="gradient" color2="#79beed" colors="0 #9ccff5;.5 #8fc4eb;1 #79beed" focus="100%" rotate="t">
                  <o:fill v:ext="view" type="gradientUnscaled"/>
                </v:fill>
                <v:textbox>
                  <w:txbxContent>
                    <w:p w:rsidRPr="003B475C" w:rsidR="003C7266" w:rsidP="003C7266" w:rsidRDefault="003C7266" w14:paraId="4AAE5EE7" w14:textId="77777777">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Titles and abstracts screened (n = 44)</w:t>
                      </w:r>
                    </w:p>
                  </w:txbxContent>
                </v:textbox>
              </v:rect>
            </w:pict>
          </mc:Fallback>
        </mc:AlternateContent>
      </w:r>
    </w:p>
    <w:p w14:paraId="43E0D46F" w14:textId="6D6E3B99" w:rsidR="003C7266" w:rsidRDefault="00E11992"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0528" behindDoc="0" locked="0" layoutInCell="1" allowOverlap="1" wp14:anchorId="516FB1C0" wp14:editId="0C04C41C">
                <wp:simplePos x="0" y="0"/>
                <wp:positionH relativeFrom="column">
                  <wp:posOffset>1344132</wp:posOffset>
                </wp:positionH>
                <wp:positionV relativeFrom="paragraph">
                  <wp:posOffset>32724</wp:posOffset>
                </wp:positionV>
                <wp:extent cx="0" cy="748800"/>
                <wp:effectExtent l="50800" t="0" r="38100" b="38735"/>
                <wp:wrapNone/>
                <wp:docPr id="506128048" name="Straight Arrow Connector 12"/>
                <wp:cNvGraphicFramePr/>
                <a:graphic xmlns:a="http://schemas.openxmlformats.org/drawingml/2006/main">
                  <a:graphicData uri="http://schemas.microsoft.com/office/word/2010/wordprocessingShape">
                    <wps:wsp>
                      <wps:cNvCnPr/>
                      <wps:spPr>
                        <a:xfrm>
                          <a:off x="0" y="0"/>
                          <a:ext cx="0" cy="748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12" style="position:absolute;margin-left:105.85pt;margin-top:2.6pt;width:0;height:58.95pt;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" w14:anchorId="4FF164A8">
                <v:stroke joinstyle="miter" endarrow="block"/>
              </v:shape>
            </w:pict>
          </mc:Fallback>
        </mc:AlternateContent>
      </w:r>
      <w:r w:rsidR="003C7266"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6432" behindDoc="0" locked="0" layoutInCell="1" allowOverlap="1" wp14:anchorId="048355FC" wp14:editId="5822D9AE">
                <wp:simplePos x="0" y="0"/>
                <wp:positionH relativeFrom="column">
                  <wp:posOffset>3494807</wp:posOffset>
                </wp:positionH>
                <wp:positionV relativeFrom="paragraph">
                  <wp:posOffset>195857</wp:posOffset>
                </wp:positionV>
                <wp:extent cx="2937359" cy="560686"/>
                <wp:effectExtent l="0" t="0" r="15875" b="11430"/>
                <wp:wrapNone/>
                <wp:docPr id="1756067494" name="Rectangle 1"/>
                <wp:cNvGraphicFramePr/>
                <a:graphic xmlns:a="http://schemas.openxmlformats.org/drawingml/2006/main">
                  <a:graphicData uri="http://schemas.microsoft.com/office/word/2010/wordprocessingShape">
                    <wps:wsp>
                      <wps:cNvSpPr/>
                      <wps:spPr>
                        <a:xfrm>
                          <a:off x="0" y="0"/>
                          <a:ext cx="2937359" cy="560686"/>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2555A04C" w14:textId="04C143EA"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Excluded (n =</w:t>
                            </w:r>
                            <w:r w:rsidR="005D598F">
                              <w:rPr>
                                <w:rStyle w:val="normaltextrun"/>
                                <w:color w:val="000000"/>
                              </w:rPr>
                              <w:t xml:space="preserve"> </w:t>
                            </w:r>
                            <w:r w:rsidRPr="003C7266">
                              <w:rPr>
                                <w:rStyle w:val="normaltextrun"/>
                                <w:color w:val="000000"/>
                              </w:rPr>
                              <w:t>18)</w:t>
                            </w:r>
                          </w:p>
                          <w:p w14:paraId="60F33F7A" w14:textId="77777777"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Fonts w:ascii="Segoe UI" w:hAnsi="Segoe UI" w:cs="Segoe UI"/>
                                <w:color w:val="000000"/>
                                <w:sz w:val="18"/>
                                <w:szCs w:val="18"/>
                              </w:rPr>
                              <w:t>A</w:t>
                            </w:r>
                            <w:r w:rsidRPr="003C7266">
                              <w:rPr>
                                <w:rStyle w:val="normaltextrun"/>
                                <w:color w:val="000000"/>
                              </w:rPr>
                              <w:t>rticle information not fully displayed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32" style="position:absolute;margin-left:275.2pt;margin-top:15.4pt;width:231.3pt;height:4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9ccff5" strokecolor="#0f9ed5" strokeweight=".5pt" w14:anchorId="048355F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">
                <v:fill type="gradient" color2="#79beed" colors="0 #9ccff5;.5 #8fc4eb;1 #79beed" focus="100%" rotate="t">
                  <o:fill v:ext="view" type="gradientUnscaled"/>
                </v:fill>
                <v:textbox>
                  <w:txbxContent>
                    <w:p w:rsidRPr="003C7266" w:rsidR="003C7266" w:rsidP="003C7266" w:rsidRDefault="003C7266" w14:paraId="2555A04C" w14:textId="04C143EA">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Excluded (n =</w:t>
                      </w:r>
                      <w:r w:rsidR="005D598F">
                        <w:rPr>
                          <w:rStyle w:val="normaltextrun"/>
                          <w:color w:val="000000"/>
                        </w:rPr>
                        <w:t xml:space="preserve"> </w:t>
                      </w:r>
                      <w:r w:rsidRPr="003C7266">
                        <w:rPr>
                          <w:rStyle w:val="normaltextrun"/>
                          <w:color w:val="000000"/>
                        </w:rPr>
                        <w:t>18)</w:t>
                      </w:r>
                    </w:p>
                    <w:p w:rsidRPr="003C7266" w:rsidR="003C7266" w:rsidP="003C7266" w:rsidRDefault="003C7266" w14:paraId="60F33F7A" w14:textId="77777777">
                      <w:pPr>
                        <w:pStyle w:val="paragraph"/>
                        <w:spacing w:before="0" w:beforeAutospacing="0" w:after="0" w:afterAutospacing="0"/>
                        <w:jc w:val="center"/>
                        <w:textAlignment w:val="baseline"/>
                        <w:rPr>
                          <w:rFonts w:ascii="Segoe UI" w:hAnsi="Segoe UI" w:cs="Segoe UI"/>
                          <w:color w:val="000000"/>
                          <w:sz w:val="18"/>
                          <w:szCs w:val="18"/>
                        </w:rPr>
                      </w:pPr>
                      <w:r w:rsidRPr="003C7266">
                        <w:rPr>
                          <w:rFonts w:ascii="Segoe UI" w:hAnsi="Segoe UI" w:cs="Segoe UI"/>
                          <w:color w:val="000000"/>
                          <w:sz w:val="18"/>
                          <w:szCs w:val="18"/>
                        </w:rPr>
                        <w:t>A</w:t>
                      </w:r>
                      <w:r w:rsidRPr="003C7266">
                        <w:rPr>
                          <w:rStyle w:val="normaltextrun"/>
                          <w:color w:val="000000"/>
                        </w:rPr>
                        <w:t>rticle information not fully displayed</w:t>
                      </w:r>
                    </w:p>
                  </w:txbxContent>
                </v:textbox>
              </v:rect>
            </w:pict>
          </mc:Fallback>
        </mc:AlternateContent>
      </w:r>
    </w:p>
    <w:p w14:paraId="46393F97" w14:textId="77777777" w:rsidR="003C7266" w:rsidRDefault="003C7266" w:rsidP="38688B0C">
      <w:pPr>
        <w:spacing w:line="480" w:lineRule="auto"/>
        <w:rPr>
          <w:rFonts w:ascii="Times New Roman" w:eastAsia="Times New Roman" w:hAnsi="Times New Roman" w:cs="Times New Roman"/>
          <w:b/>
          <w:bCs/>
          <w:sz w:val="24"/>
          <w:szCs w:val="24"/>
          <w:lang w:val="en-US"/>
        </w:rPr>
      </w:pPr>
    </w:p>
    <w:p w14:paraId="21549615" w14:textId="60AA7D15" w:rsidR="003C7266" w:rsidRDefault="00E11992"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5408" behindDoc="0" locked="0" layoutInCell="1" allowOverlap="1" wp14:anchorId="47161A22" wp14:editId="0F7265EB">
                <wp:simplePos x="0" y="0"/>
                <wp:positionH relativeFrom="column">
                  <wp:posOffset>81481</wp:posOffset>
                </wp:positionH>
                <wp:positionV relativeFrom="paragraph">
                  <wp:posOffset>101400</wp:posOffset>
                </wp:positionV>
                <wp:extent cx="2720975" cy="307818"/>
                <wp:effectExtent l="0" t="0" r="22225" b="16510"/>
                <wp:wrapNone/>
                <wp:docPr id="97203709" name="Rectangle 1"/>
                <wp:cNvGraphicFramePr/>
                <a:graphic xmlns:a="http://schemas.openxmlformats.org/drawingml/2006/main">
                  <a:graphicData uri="http://schemas.microsoft.com/office/word/2010/wordprocessingShape">
                    <wps:wsp>
                      <wps:cNvSpPr/>
                      <wps:spPr>
                        <a:xfrm>
                          <a:off x="0" y="0"/>
                          <a:ext cx="2720975" cy="307818"/>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5F2BC586" w14:textId="77777777" w:rsidR="003C7266" w:rsidRPr="003B475C" w:rsidRDefault="003C7266" w:rsidP="003C7266">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Full texts screened (n =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33" style="position:absolute;margin-left:6.4pt;margin-top:8pt;width:214.25pt;height:2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9ccff5" strokecolor="#0f9ed5" strokeweight=".5pt" w14:anchorId="47161A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">
                <v:fill type="gradient" color2="#79beed" colors="0 #9ccff5;.5 #8fc4eb;1 #79beed" focus="100%" rotate="t">
                  <o:fill v:ext="view" type="gradientUnscaled"/>
                </v:fill>
                <v:textbox>
                  <w:txbxContent>
                    <w:p w:rsidRPr="003B475C" w:rsidR="003C7266" w:rsidP="003C7266" w:rsidRDefault="003C7266" w14:paraId="5F2BC586" w14:textId="77777777">
                      <w:pPr>
                        <w:pStyle w:val="paragraph"/>
                        <w:spacing w:before="0" w:beforeAutospacing="0" w:after="0" w:afterAutospacing="0"/>
                        <w:jc w:val="center"/>
                        <w:textAlignment w:val="baseline"/>
                        <w:rPr>
                          <w:rFonts w:ascii="Segoe UI" w:hAnsi="Segoe UI" w:cs="Segoe UI"/>
                          <w:sz w:val="18"/>
                          <w:szCs w:val="18"/>
                        </w:rPr>
                      </w:pPr>
                      <w:r w:rsidRPr="003C7266">
                        <w:rPr>
                          <w:rStyle w:val="normaltextrun"/>
                        </w:rPr>
                        <w:t>Full texts screened (n = 26)</w:t>
                      </w:r>
                    </w:p>
                  </w:txbxContent>
                </v:textbox>
              </v:rect>
            </w:pict>
          </mc:Fallback>
        </mc:AlternateContent>
      </w:r>
    </w:p>
    <w:p w14:paraId="538968F6" w14:textId="2250174E" w:rsidR="003C7266" w:rsidRDefault="00E11992"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71552" behindDoc="0" locked="0" layoutInCell="1" allowOverlap="1" wp14:anchorId="367509CD" wp14:editId="362299D4">
                <wp:simplePos x="0" y="0"/>
                <wp:positionH relativeFrom="column">
                  <wp:posOffset>1362365</wp:posOffset>
                </wp:positionH>
                <wp:positionV relativeFrom="paragraph">
                  <wp:posOffset>55522</wp:posOffset>
                </wp:positionV>
                <wp:extent cx="0" cy="504405"/>
                <wp:effectExtent l="63500" t="0" r="50800" b="29210"/>
                <wp:wrapNone/>
                <wp:docPr id="168501166" name="Straight Arrow Connector 14"/>
                <wp:cNvGraphicFramePr/>
                <a:graphic xmlns:a="http://schemas.openxmlformats.org/drawingml/2006/main">
                  <a:graphicData uri="http://schemas.microsoft.com/office/word/2010/wordprocessingShape">
                    <wps:wsp>
                      <wps:cNvCnPr/>
                      <wps:spPr>
                        <a:xfrm>
                          <a:off x="0" y="0"/>
                          <a:ext cx="0" cy="5044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svg="http://schemas.microsoft.com/office/drawing/2016/SVG/main" xmlns:pic="http://schemas.openxmlformats.org/drawingml/2006/picture">
            <w:pict>
              <v:shape id="Straight Arrow Connector 14" style="position:absolute;margin-left:107.25pt;margin-top:4.35pt;width:0;height:39.7pt;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" w14:anchorId="2085FF40">
                <v:stroke joinstyle="miter" endarrow="block"/>
              </v:shape>
            </w:pict>
          </mc:Fallback>
        </mc:AlternateContent>
      </w:r>
    </w:p>
    <w:p w14:paraId="7E889F75" w14:textId="3A574A82" w:rsidR="003C7266" w:rsidRDefault="00E11992" w:rsidP="38688B0C">
      <w:pPr>
        <w:spacing w:line="480" w:lineRule="auto"/>
        <w:rPr>
          <w:rFonts w:ascii="Times New Roman" w:eastAsia="Times New Roman" w:hAnsi="Times New Roman" w:cs="Times New Roman"/>
          <w:b/>
          <w:bCs/>
          <w:sz w:val="24"/>
          <w:szCs w:val="24"/>
          <w:lang w:val="en-US"/>
        </w:rPr>
      </w:pPr>
      <w:r w:rsidRPr="003C7266">
        <w:rPr>
          <w:rFonts w:ascii="Aptos" w:eastAsia="Aptos" w:hAnsi="Aptos" w:cs="Times New Roman"/>
          <w:noProof/>
          <w:kern w:val="2"/>
          <w:sz w:val="24"/>
          <w:szCs w:val="24"/>
          <w:lang w:val="en-US"/>
          <w14:ligatures w14:val="standardContextual"/>
        </w:rPr>
        <mc:AlternateContent>
          <mc:Choice Requires="wps">
            <w:drawing>
              <wp:anchor distT="0" distB="0" distL="114300" distR="114300" simplePos="0" relativeHeight="251667456" behindDoc="0" locked="0" layoutInCell="1" allowOverlap="1" wp14:anchorId="7110A5BC" wp14:editId="134AD901">
                <wp:simplePos x="0" y="0"/>
                <wp:positionH relativeFrom="margin">
                  <wp:posOffset>54321</wp:posOffset>
                </wp:positionH>
                <wp:positionV relativeFrom="paragraph">
                  <wp:posOffset>206117</wp:posOffset>
                </wp:positionV>
                <wp:extent cx="2824681" cy="289711"/>
                <wp:effectExtent l="0" t="0" r="13970" b="15240"/>
                <wp:wrapNone/>
                <wp:docPr id="2100010623" name="Rectangle 1"/>
                <wp:cNvGraphicFramePr/>
                <a:graphic xmlns:a="http://schemas.openxmlformats.org/drawingml/2006/main">
                  <a:graphicData uri="http://schemas.microsoft.com/office/word/2010/wordprocessingShape">
                    <wps:wsp>
                      <wps:cNvSpPr/>
                      <wps:spPr>
                        <a:xfrm>
                          <a:off x="0" y="0"/>
                          <a:ext cx="2824681" cy="289711"/>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4323AAE5" w14:textId="77777777" w:rsidR="003C7266" w:rsidRPr="003C7266" w:rsidRDefault="003C7266" w:rsidP="003C7266">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Studies included in review (n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w:pict>
              <v:rect id="_x0000_s1034" style="position:absolute;margin-left:4.3pt;margin-top:16.25pt;width:222.4pt;height:2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9ccff5" strokecolor="#0f9ed5" strokeweight=".5pt" w14:anchorId="7110A5B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">
                <v:fill type="gradient" color2="#79beed" colors="0 #9ccff5;.5 #8fc4eb;1 #79beed" focus="100%" rotate="t">
                  <o:fill v:ext="view" type="gradientUnscaled"/>
                </v:fill>
                <v:textbox>
                  <w:txbxContent>
                    <w:p w:rsidRPr="003C7266" w:rsidR="003C7266" w:rsidP="003C7266" w:rsidRDefault="003C7266" w14:paraId="4323AAE5" w14:textId="77777777">
                      <w:pPr>
                        <w:pStyle w:val="paragraph"/>
                        <w:spacing w:before="0" w:beforeAutospacing="0" w:after="0" w:afterAutospacing="0"/>
                        <w:jc w:val="center"/>
                        <w:textAlignment w:val="baseline"/>
                        <w:rPr>
                          <w:rFonts w:ascii="Segoe UI" w:hAnsi="Segoe UI" w:cs="Segoe UI"/>
                          <w:color w:val="000000"/>
                          <w:sz w:val="18"/>
                          <w:szCs w:val="18"/>
                        </w:rPr>
                      </w:pPr>
                      <w:r w:rsidRPr="003C7266">
                        <w:rPr>
                          <w:rStyle w:val="normaltextrun"/>
                          <w:color w:val="000000"/>
                        </w:rPr>
                        <w:t>Studies included in review (n =18)</w:t>
                      </w:r>
                    </w:p>
                  </w:txbxContent>
                </v:textbox>
                <w10:wrap anchorx="margin"/>
              </v:rect>
            </w:pict>
          </mc:Fallback>
        </mc:AlternateContent>
      </w:r>
    </w:p>
    <w:p w14:paraId="52E3C9D9" w14:textId="706A554C" w:rsidR="003C7266" w:rsidRDefault="003C7266" w:rsidP="38688B0C">
      <w:pPr>
        <w:spacing w:line="480" w:lineRule="auto"/>
        <w:rPr>
          <w:rFonts w:ascii="Times New Roman" w:eastAsia="Times New Roman" w:hAnsi="Times New Roman" w:cs="Times New Roman"/>
          <w:b/>
          <w:bCs/>
          <w:sz w:val="24"/>
          <w:szCs w:val="24"/>
          <w:lang w:val="en-US"/>
        </w:rPr>
      </w:pPr>
    </w:p>
    <w:p w14:paraId="651E5595" w14:textId="07C36C4B" w:rsidR="5C147B13" w:rsidRDefault="5C147B13" w:rsidP="38688B0C">
      <w:pPr>
        <w:spacing w:line="480" w:lineRule="auto"/>
      </w:pPr>
      <w:r w:rsidRPr="38688B0C">
        <w:rPr>
          <w:rFonts w:ascii="Times New Roman" w:eastAsia="Times New Roman" w:hAnsi="Times New Roman" w:cs="Times New Roman"/>
          <w:b/>
          <w:bCs/>
          <w:sz w:val="24"/>
          <w:szCs w:val="24"/>
          <w:lang w:val="en-US"/>
        </w:rPr>
        <w:t>Figure 1</w:t>
      </w:r>
    </w:p>
    <w:p w14:paraId="3CB370E6" w14:textId="74111AB4" w:rsidR="5C147B13" w:rsidRDefault="5C147B13" w:rsidP="38688B0C">
      <w:pPr>
        <w:spacing w:line="480" w:lineRule="auto"/>
      </w:pPr>
      <w:r w:rsidRPr="38688B0C">
        <w:rPr>
          <w:rFonts w:ascii="Times New Roman" w:eastAsia="Times New Roman" w:hAnsi="Times New Roman" w:cs="Times New Roman"/>
          <w:i/>
          <w:iCs/>
          <w:sz w:val="24"/>
          <w:szCs w:val="24"/>
          <w:lang w:val="en-US"/>
        </w:rPr>
        <w:t>Literature Search and Study Selection Process</w:t>
      </w:r>
      <w:r w:rsidRPr="38688B0C">
        <w:rPr>
          <w:rFonts w:ascii="Times New Roman" w:eastAsia="Times New Roman" w:hAnsi="Times New Roman" w:cs="Times New Roman"/>
          <w:sz w:val="24"/>
          <w:szCs w:val="24"/>
          <w:lang w:val="en-US"/>
        </w:rPr>
        <w:t xml:space="preserve"> </w:t>
      </w:r>
    </w:p>
    <w:p w14:paraId="6FC25268" w14:textId="678489D8" w:rsidR="5C147B13" w:rsidRDefault="5C147B13" w:rsidP="38688B0C">
      <w:pPr>
        <w:spacing w:line="480" w:lineRule="auto"/>
      </w:pPr>
      <w:r w:rsidRPr="38688B0C">
        <w:rPr>
          <w:rFonts w:ascii="Times New Roman" w:eastAsia="Times New Roman" w:hAnsi="Times New Roman" w:cs="Times New Roman"/>
          <w:i/>
          <w:iCs/>
          <w:sz w:val="24"/>
          <w:szCs w:val="24"/>
          <w:lang w:val="en-US"/>
        </w:rPr>
        <w:t>Note.</w:t>
      </w:r>
      <w:r w:rsidRPr="38688B0C">
        <w:rPr>
          <w:rFonts w:ascii="Times New Roman" w:eastAsia="Times New Roman" w:hAnsi="Times New Roman" w:cs="Times New Roman"/>
          <w:sz w:val="24"/>
          <w:szCs w:val="24"/>
          <w:lang w:val="en-US"/>
        </w:rPr>
        <w:t xml:space="preserve"> This figure depicts the literature search and study selection process conducted using the integrative review methodology described by Whittemore and </w:t>
      </w:r>
      <w:proofErr w:type="spellStart"/>
      <w:r w:rsidRPr="38688B0C">
        <w:rPr>
          <w:rFonts w:ascii="Times New Roman" w:eastAsia="Times New Roman" w:hAnsi="Times New Roman" w:cs="Times New Roman"/>
          <w:sz w:val="24"/>
          <w:szCs w:val="24"/>
          <w:lang w:val="en-US"/>
        </w:rPr>
        <w:t>Knafl</w:t>
      </w:r>
      <w:proofErr w:type="spellEnd"/>
      <w:r w:rsidRPr="38688B0C">
        <w:rPr>
          <w:rFonts w:ascii="Times New Roman" w:eastAsia="Times New Roman" w:hAnsi="Times New Roman" w:cs="Times New Roman"/>
          <w:sz w:val="24"/>
          <w:szCs w:val="24"/>
          <w:lang w:val="en-US"/>
        </w:rPr>
        <w:t xml:space="preserve"> (2005). Records were identified through PubMed, CINAHL, MEDLINE, ScienceDirect, and Wiley Online Library. Duplicate, pediatric, and non-human studies were removed prior to screening. Studies were excluded based on irrelevance, publication type, or incomplete data. </w:t>
      </w:r>
    </w:p>
    <w:p w14:paraId="3A5E5CC2" w14:textId="13770F43" w:rsidR="5C147B13" w:rsidRDefault="5C147B13" w:rsidP="1CF5E637">
      <w:pPr>
        <w:spacing w:line="480" w:lineRule="auto"/>
        <w:contextualSpacing/>
      </w:pPr>
      <w:r w:rsidRPr="1CF5E637">
        <w:rPr>
          <w:rFonts w:ascii="Times New Roman" w:eastAsia="Times New Roman" w:hAnsi="Times New Roman" w:cs="Times New Roman"/>
          <w:b/>
          <w:bCs/>
          <w:sz w:val="24"/>
          <w:szCs w:val="24"/>
        </w:rPr>
        <w:lastRenderedPageBreak/>
        <w:t xml:space="preserve">Data Evaluation </w:t>
      </w:r>
    </w:p>
    <w:p w14:paraId="0F0A943B" w14:textId="0C7ECD8F" w:rsidR="5C147B13" w:rsidRDefault="5C147B13" w:rsidP="1CF5E637">
      <w:pPr>
        <w:spacing w:line="480" w:lineRule="auto"/>
        <w:ind w:firstLine="720"/>
        <w:contextualSpacing/>
        <w:rPr>
          <w:rFonts w:ascii="Times New Roman" w:eastAsia="Times New Roman" w:hAnsi="Times New Roman" w:cs="Times New Roman"/>
          <w:sz w:val="24"/>
          <w:szCs w:val="24"/>
          <w:lang w:val="en-US"/>
        </w:rPr>
      </w:pPr>
      <w:r w:rsidRPr="1CF5E637">
        <w:rPr>
          <w:rFonts w:ascii="Times New Roman" w:eastAsia="Times New Roman" w:hAnsi="Times New Roman" w:cs="Times New Roman"/>
          <w:sz w:val="24"/>
          <w:szCs w:val="24"/>
          <w:lang w:val="en-US"/>
        </w:rPr>
        <w:t xml:space="preserve">Included studies were evaluated for methodological quality, study design, and relevance to the guiding clinical question in accordance with Whittemore and </w:t>
      </w:r>
      <w:proofErr w:type="spellStart"/>
      <w:r w:rsidRPr="1CF5E637">
        <w:rPr>
          <w:rFonts w:ascii="Times New Roman" w:eastAsia="Times New Roman" w:hAnsi="Times New Roman" w:cs="Times New Roman"/>
          <w:sz w:val="24"/>
          <w:szCs w:val="24"/>
          <w:lang w:val="en-US"/>
        </w:rPr>
        <w:t>Knafl’s</w:t>
      </w:r>
      <w:proofErr w:type="spellEnd"/>
      <w:r w:rsidRPr="1CF5E637">
        <w:rPr>
          <w:rFonts w:ascii="Times New Roman" w:eastAsia="Times New Roman" w:hAnsi="Times New Roman" w:cs="Times New Roman"/>
          <w:sz w:val="24"/>
          <w:szCs w:val="24"/>
          <w:lang w:val="en-US"/>
        </w:rPr>
        <w:t xml:space="preserve"> integrative review framework. Both experimental and non-experimental studies were retained to support comprehensive synthesis, with greater emphasis placed on higher levels of evidence, including randomized controlled trials and systematic reviews.</w:t>
      </w:r>
    </w:p>
    <w:p w14:paraId="79998A62" w14:textId="6FAB0539" w:rsidR="5C147B13" w:rsidRDefault="3F6F6F2D"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Methodological quality was appraised using study-specific Critical Appraisal Skills Programme (CASP) checklists (2023). Each study was evaluated for internal validity, risk of bias, clarity</w:t>
      </w:r>
      <w:r w:rsidR="73EC6F97" w:rsidRPr="0320F0AF">
        <w:rPr>
          <w:rFonts w:ascii="Times New Roman" w:eastAsia="Times New Roman" w:hAnsi="Times New Roman" w:cs="Times New Roman"/>
          <w:sz w:val="24"/>
          <w:szCs w:val="24"/>
          <w:lang w:val="en-US"/>
        </w:rPr>
        <w:t>,</w:t>
      </w:r>
      <w:r w:rsidRPr="0320F0AF">
        <w:rPr>
          <w:rFonts w:ascii="Times New Roman" w:eastAsia="Times New Roman" w:hAnsi="Times New Roman" w:cs="Times New Roman"/>
          <w:sz w:val="24"/>
          <w:szCs w:val="24"/>
          <w:lang w:val="en-US"/>
        </w:rPr>
        <w:t xml:space="preserve"> and consistency of outcome measurement, and applicability to perioperative anesthesia practice. Detailed appraisal findings are presented in Tables 1–3.</w:t>
      </w:r>
    </w:p>
    <w:p w14:paraId="3231F40B" w14:textId="54F2D100" w:rsidR="343CB678" w:rsidRPr="005633C7" w:rsidRDefault="5C147B13" w:rsidP="1CF5E637">
      <w:pPr>
        <w:spacing w:line="480" w:lineRule="auto"/>
        <w:ind w:firstLine="720"/>
        <w:contextualSpacing/>
      </w:pPr>
      <w:r w:rsidRPr="1CF5E637">
        <w:rPr>
          <w:rFonts w:ascii="Times New Roman" w:eastAsia="Times New Roman" w:hAnsi="Times New Roman" w:cs="Times New Roman"/>
          <w:sz w:val="24"/>
          <w:szCs w:val="24"/>
          <w:lang w:val="en-US"/>
        </w:rPr>
        <w:t xml:space="preserve">Of the 18 included studies, </w:t>
      </w:r>
      <w:r w:rsidR="356A4274" w:rsidRPr="1CF5E637">
        <w:rPr>
          <w:rFonts w:ascii="Times New Roman" w:eastAsia="Times New Roman" w:hAnsi="Times New Roman" w:cs="Times New Roman"/>
          <w:sz w:val="24"/>
          <w:szCs w:val="24"/>
          <w:lang w:val="en-US"/>
        </w:rPr>
        <w:t>seven</w:t>
      </w:r>
      <w:r w:rsidRPr="1CF5E637">
        <w:rPr>
          <w:rFonts w:ascii="Times New Roman" w:eastAsia="Times New Roman" w:hAnsi="Times New Roman" w:cs="Times New Roman"/>
          <w:sz w:val="24"/>
          <w:szCs w:val="24"/>
          <w:lang w:val="en-US"/>
        </w:rPr>
        <w:t xml:space="preserve"> were classified as Level I evidence (systematic reviews or meta-analyses), </w:t>
      </w:r>
      <w:r w:rsidR="6DE662DE" w:rsidRPr="1CF5E637">
        <w:rPr>
          <w:rFonts w:ascii="Times New Roman" w:eastAsia="Times New Roman" w:hAnsi="Times New Roman" w:cs="Times New Roman"/>
          <w:sz w:val="24"/>
          <w:szCs w:val="24"/>
          <w:lang w:val="en-US"/>
        </w:rPr>
        <w:t>six</w:t>
      </w:r>
      <w:r w:rsidRPr="1CF5E637">
        <w:rPr>
          <w:rFonts w:ascii="Times New Roman" w:eastAsia="Times New Roman" w:hAnsi="Times New Roman" w:cs="Times New Roman"/>
          <w:sz w:val="24"/>
          <w:szCs w:val="24"/>
          <w:lang w:val="en-US"/>
        </w:rPr>
        <w:t xml:space="preserve"> as Level II evidence (randomized controlled trials), and </w:t>
      </w:r>
      <w:r w:rsidR="78444A50" w:rsidRPr="1CF5E637">
        <w:rPr>
          <w:rFonts w:ascii="Times New Roman" w:eastAsia="Times New Roman" w:hAnsi="Times New Roman" w:cs="Times New Roman"/>
          <w:sz w:val="24"/>
          <w:szCs w:val="24"/>
          <w:lang w:val="en-US"/>
        </w:rPr>
        <w:t xml:space="preserve">five </w:t>
      </w:r>
      <w:r w:rsidRPr="1CF5E637">
        <w:rPr>
          <w:rFonts w:ascii="Times New Roman" w:eastAsia="Times New Roman" w:hAnsi="Times New Roman" w:cs="Times New Roman"/>
          <w:sz w:val="24"/>
          <w:szCs w:val="24"/>
          <w:lang w:val="en-US"/>
        </w:rPr>
        <w:t>as lower-level evidence (observational or retrospective studies). This distribution reflects a strong representation of higher-level evidence while incorporating lower-level studies that contribute to clinical context and external validity.</w:t>
      </w:r>
    </w:p>
    <w:p w14:paraId="6148FC0A" w14:textId="3D3B2C48" w:rsidR="343CB678" w:rsidRPr="005633C7" w:rsidRDefault="3F6F6F2D"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Randomized controlled trials and systematic reviews demonstrated </w:t>
      </w:r>
      <w:r w:rsidR="76B35BE8" w:rsidRPr="0320F0AF">
        <w:rPr>
          <w:rFonts w:ascii="Times New Roman" w:eastAsia="Times New Roman" w:hAnsi="Times New Roman" w:cs="Times New Roman"/>
          <w:sz w:val="24"/>
          <w:szCs w:val="24"/>
          <w:lang w:val="en-US"/>
        </w:rPr>
        <w:t xml:space="preserve">overall </w:t>
      </w:r>
      <w:r w:rsidRPr="0320F0AF">
        <w:rPr>
          <w:rFonts w:ascii="Times New Roman" w:eastAsia="Times New Roman" w:hAnsi="Times New Roman" w:cs="Times New Roman"/>
          <w:sz w:val="24"/>
          <w:szCs w:val="24"/>
          <w:lang w:val="en-US"/>
        </w:rPr>
        <w:t xml:space="preserve">strong methodological quality, with clearly defined inclusion criteria, standardized outcome measures, and </w:t>
      </w:r>
      <w:r w:rsidR="76B35BE8" w:rsidRPr="0320F0AF">
        <w:rPr>
          <w:rFonts w:ascii="Times New Roman" w:eastAsia="Times New Roman" w:hAnsi="Times New Roman" w:cs="Times New Roman"/>
          <w:sz w:val="24"/>
          <w:szCs w:val="24"/>
          <w:lang w:val="en-US"/>
        </w:rPr>
        <w:t>generally low risk of bias</w:t>
      </w:r>
      <w:r w:rsidRPr="0320F0AF">
        <w:rPr>
          <w:rFonts w:ascii="Times New Roman" w:eastAsia="Times New Roman" w:hAnsi="Times New Roman" w:cs="Times New Roman"/>
          <w:sz w:val="24"/>
          <w:szCs w:val="24"/>
          <w:lang w:val="en-US"/>
        </w:rPr>
        <w:t xml:space="preserve">. </w:t>
      </w:r>
      <w:r w:rsidR="0E7E17FF" w:rsidRPr="0320F0AF">
        <w:rPr>
          <w:rFonts w:ascii="Times New Roman" w:eastAsia="Times New Roman" w:hAnsi="Times New Roman" w:cs="Times New Roman"/>
          <w:sz w:val="24"/>
          <w:szCs w:val="24"/>
          <w:lang w:val="en-US"/>
        </w:rPr>
        <w:t>Heterogeneit</w:t>
      </w:r>
      <w:r w:rsidR="76B35BE8" w:rsidRPr="0320F0AF">
        <w:rPr>
          <w:rFonts w:ascii="Times New Roman" w:eastAsia="Times New Roman" w:hAnsi="Times New Roman" w:cs="Times New Roman"/>
          <w:sz w:val="24"/>
          <w:szCs w:val="24"/>
          <w:lang w:val="en-US"/>
        </w:rPr>
        <w:t xml:space="preserve">y across studies was primarily related to differences in methadone dosing strategies (fixed versus weight-based), timing of administration, surgical populations, outcome measurement intervals, and incorporation into multimodal analgesic protocols. Despite this heterogeneity, outcomes were consistently focused on </w:t>
      </w:r>
      <w:r w:rsidR="4F4AC570" w:rsidRPr="0320F0AF">
        <w:rPr>
          <w:rFonts w:ascii="Times New Roman" w:eastAsia="Times New Roman" w:hAnsi="Times New Roman" w:cs="Times New Roman"/>
          <w:sz w:val="24"/>
          <w:szCs w:val="24"/>
          <w:lang w:val="en-US"/>
        </w:rPr>
        <w:t xml:space="preserve">postoperative pain intensity, opioid consumption, and safety-related endpoints, including respiratory depression, </w:t>
      </w:r>
      <w:r w:rsidR="4F4AC570" w:rsidRPr="0320F0AF">
        <w:rPr>
          <w:rFonts w:ascii="Times New Roman" w:eastAsia="Times New Roman" w:hAnsi="Times New Roman" w:cs="Times New Roman"/>
          <w:sz w:val="24"/>
          <w:szCs w:val="24"/>
          <w:lang w:val="en-US"/>
        </w:rPr>
        <w:lastRenderedPageBreak/>
        <w:t xml:space="preserve">sedation, and postoperative nausea and vomiting. The overall </w:t>
      </w:r>
      <w:r w:rsidRPr="0320F0AF">
        <w:rPr>
          <w:rFonts w:ascii="Times New Roman" w:eastAsia="Times New Roman" w:hAnsi="Times New Roman" w:cs="Times New Roman"/>
          <w:sz w:val="24"/>
          <w:szCs w:val="24"/>
          <w:lang w:val="en-US"/>
        </w:rPr>
        <w:t xml:space="preserve">direction of effect remained consistent across </w:t>
      </w:r>
      <w:r w:rsidR="7810A959" w:rsidRPr="0320F0AF">
        <w:rPr>
          <w:rFonts w:ascii="Times New Roman" w:eastAsia="Times New Roman" w:hAnsi="Times New Roman" w:cs="Times New Roman"/>
          <w:sz w:val="24"/>
          <w:szCs w:val="24"/>
          <w:lang w:val="en-US"/>
        </w:rPr>
        <w:t xml:space="preserve">these </w:t>
      </w:r>
      <w:r w:rsidRPr="0320F0AF">
        <w:rPr>
          <w:rFonts w:ascii="Times New Roman" w:eastAsia="Times New Roman" w:hAnsi="Times New Roman" w:cs="Times New Roman"/>
          <w:sz w:val="24"/>
          <w:szCs w:val="24"/>
          <w:lang w:val="en-US"/>
        </w:rPr>
        <w:t xml:space="preserve">higher-level studies, </w:t>
      </w:r>
      <w:r w:rsidR="76B35BE8" w:rsidRPr="0320F0AF">
        <w:rPr>
          <w:rFonts w:ascii="Times New Roman" w:eastAsia="Times New Roman" w:hAnsi="Times New Roman" w:cs="Times New Roman"/>
          <w:sz w:val="24"/>
          <w:szCs w:val="24"/>
          <w:lang w:val="en-US"/>
        </w:rPr>
        <w:t>supporting</w:t>
      </w:r>
      <w:r w:rsidRPr="0320F0AF">
        <w:rPr>
          <w:rFonts w:ascii="Times New Roman" w:eastAsia="Times New Roman" w:hAnsi="Times New Roman" w:cs="Times New Roman"/>
          <w:sz w:val="24"/>
          <w:szCs w:val="24"/>
          <w:lang w:val="en-US"/>
        </w:rPr>
        <w:t xml:space="preserve"> confidence in</w:t>
      </w:r>
      <w:r w:rsidR="08D52202" w:rsidRPr="0320F0AF">
        <w:rPr>
          <w:rFonts w:ascii="Times New Roman" w:eastAsia="Times New Roman" w:hAnsi="Times New Roman" w:cs="Times New Roman"/>
          <w:sz w:val="24"/>
          <w:szCs w:val="24"/>
          <w:lang w:val="en-US"/>
        </w:rPr>
        <w:t xml:space="preserve"> </w:t>
      </w:r>
      <w:r w:rsidR="76B35BE8" w:rsidRPr="0320F0AF">
        <w:rPr>
          <w:rFonts w:ascii="Times New Roman" w:eastAsia="Times New Roman" w:hAnsi="Times New Roman" w:cs="Times New Roman"/>
          <w:sz w:val="24"/>
          <w:szCs w:val="24"/>
          <w:lang w:val="en-US"/>
        </w:rPr>
        <w:t>the observed</w:t>
      </w:r>
      <w:r w:rsidR="08D52202" w:rsidRPr="0320F0AF">
        <w:rPr>
          <w:rFonts w:ascii="Times New Roman" w:eastAsia="Times New Roman" w:hAnsi="Times New Roman" w:cs="Times New Roman"/>
          <w:sz w:val="24"/>
          <w:szCs w:val="24"/>
          <w:lang w:val="en-US"/>
        </w:rPr>
        <w:t xml:space="preserve"> </w:t>
      </w:r>
      <w:r w:rsidRPr="0320F0AF">
        <w:rPr>
          <w:rFonts w:ascii="Times New Roman" w:eastAsia="Times New Roman" w:hAnsi="Times New Roman" w:cs="Times New Roman"/>
          <w:sz w:val="24"/>
          <w:szCs w:val="24"/>
          <w:lang w:val="en-US"/>
        </w:rPr>
        <w:t>findings</w:t>
      </w:r>
      <w:r w:rsidR="52D9A686" w:rsidRPr="0320F0AF">
        <w:rPr>
          <w:rFonts w:ascii="Times New Roman" w:eastAsia="Times New Roman" w:hAnsi="Times New Roman" w:cs="Times New Roman"/>
          <w:sz w:val="24"/>
          <w:szCs w:val="24"/>
          <w:lang w:val="en-US"/>
        </w:rPr>
        <w:t>.</w:t>
      </w:r>
    </w:p>
    <w:p w14:paraId="021C7262" w14:textId="1DC4FA76" w:rsidR="343CB678" w:rsidRPr="005633C7" w:rsidRDefault="3F6F6F2D" w:rsidP="0320F0AF">
      <w:pPr>
        <w:spacing w:line="480" w:lineRule="auto"/>
        <w:ind w:firstLine="720"/>
        <w:contextualSpacing/>
        <w:rPr>
          <w:rFonts w:ascii="Times New Roman" w:eastAsia="Times New Roman" w:hAnsi="Times New Roman" w:cs="Times New Roman"/>
          <w:color w:val="000000" w:themeColor="text1"/>
          <w:sz w:val="24"/>
          <w:szCs w:val="24"/>
          <w:lang w:val="en-US"/>
        </w:rPr>
      </w:pPr>
      <w:r w:rsidRPr="0320F0AF">
        <w:rPr>
          <w:rFonts w:ascii="Times New Roman" w:eastAsia="Times New Roman" w:hAnsi="Times New Roman" w:cs="Times New Roman"/>
          <w:sz w:val="24"/>
          <w:szCs w:val="24"/>
          <w:lang w:val="en-US"/>
        </w:rPr>
        <w:t>Observational and retrospective studies, while inherently</w:t>
      </w:r>
      <w:r w:rsidR="7E023394" w:rsidRPr="0320F0AF">
        <w:rPr>
          <w:rFonts w:ascii="Times New Roman" w:eastAsia="Times New Roman" w:hAnsi="Times New Roman" w:cs="Times New Roman"/>
          <w:sz w:val="24"/>
          <w:szCs w:val="24"/>
          <w:lang w:val="en-US"/>
        </w:rPr>
        <w:t xml:space="preserve"> limited</w:t>
      </w:r>
      <w:r w:rsidRPr="0320F0AF">
        <w:rPr>
          <w:rFonts w:ascii="Times New Roman" w:eastAsia="Times New Roman" w:hAnsi="Times New Roman" w:cs="Times New Roman"/>
          <w:sz w:val="24"/>
          <w:szCs w:val="24"/>
          <w:lang w:val="en-US"/>
        </w:rPr>
        <w:t xml:space="preserve"> by potential confounding and inability to establish causation, contributed to external validity by reflecting larger and more diverse real-world surgical populations. Common methodological limitations included variability in baseline patient characteristics, particularly preoperative opioid use, heterogeneity in surgical procedures, and inconsistent reporting of dosing strategies and outcome time points. Despite these limitations, findings from observational studies aligned with those of higher-level evidence, reinforcing consistency across study designs</w:t>
      </w:r>
      <w:r w:rsidR="2E1FEFF3" w:rsidRPr="0320F0AF">
        <w:rPr>
          <w:rFonts w:ascii="Times New Roman" w:eastAsia="Times New Roman" w:hAnsi="Times New Roman" w:cs="Times New Roman"/>
          <w:sz w:val="24"/>
          <w:szCs w:val="24"/>
          <w:lang w:val="en-US"/>
        </w:rPr>
        <w:t>. This consistency mitigated methodological variability, enhanced reliability, and strengthened the foundation for thematic synthesis during data analysis</w:t>
      </w:r>
      <w:r w:rsidR="6672DE22" w:rsidRPr="0320F0AF">
        <w:rPr>
          <w:rFonts w:ascii="Times New Roman" w:eastAsia="Times New Roman" w:hAnsi="Times New Roman" w:cs="Times New Roman"/>
          <w:sz w:val="24"/>
          <w:szCs w:val="24"/>
          <w:lang w:val="en-US"/>
        </w:rPr>
        <w:t>.</w:t>
      </w:r>
    </w:p>
    <w:p w14:paraId="18C76E99" w14:textId="7D59AB5A" w:rsidR="343CB678" w:rsidRDefault="343CB678" w:rsidP="1CF5E637">
      <w:pPr>
        <w:spacing w:line="480" w:lineRule="auto"/>
        <w:ind w:firstLine="720"/>
        <w:contextualSpacing/>
        <w:rPr>
          <w:rFonts w:ascii="Times New Roman" w:eastAsia="Times New Roman" w:hAnsi="Times New Roman" w:cs="Times New Roman"/>
          <w:i/>
          <w:iCs/>
          <w:sz w:val="24"/>
          <w:szCs w:val="24"/>
          <w:lang w:val="en-US"/>
        </w:rPr>
      </w:pPr>
    </w:p>
    <w:p w14:paraId="2283C389" w14:textId="741734DA" w:rsidR="343CB678" w:rsidRDefault="343CB678" w:rsidP="343CB678">
      <w:pPr>
        <w:spacing w:line="480" w:lineRule="auto"/>
        <w:ind w:firstLine="720"/>
        <w:rPr>
          <w:rFonts w:ascii="Times New Roman" w:eastAsia="Times New Roman" w:hAnsi="Times New Roman" w:cs="Times New Roman"/>
          <w:sz w:val="24"/>
          <w:szCs w:val="24"/>
          <w:lang w:val="en-US"/>
        </w:rPr>
        <w:sectPr w:rsidR="343CB678" w:rsidSect="002704FC">
          <w:headerReference w:type="even" r:id="rId7"/>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299"/>
        </w:sectPr>
      </w:pPr>
    </w:p>
    <w:p w14:paraId="4802E14C" w14:textId="02E31870" w:rsidR="009642E0" w:rsidRPr="009642E0" w:rsidRDefault="009642E0" w:rsidP="23B78A03">
      <w:pPr>
        <w:keepNext/>
        <w:spacing w:after="200" w:line="240" w:lineRule="auto"/>
        <w:rPr>
          <w:rFonts w:ascii="Times New Roman" w:eastAsia="Calibri" w:hAnsi="Times New Roman" w:cs="Times New Roman"/>
          <w:b/>
          <w:bCs/>
          <w:kern w:val="2"/>
          <w:sz w:val="24"/>
          <w:szCs w:val="24"/>
          <w:lang w:val="en-US"/>
          <w14:ligatures w14:val="standardContextual"/>
        </w:rPr>
      </w:pPr>
      <w:r w:rsidRPr="23B78A03">
        <w:rPr>
          <w:rFonts w:ascii="Times New Roman" w:eastAsia="Calibri" w:hAnsi="Times New Roman" w:cs="Times New Roman"/>
          <w:b/>
          <w:bCs/>
          <w:kern w:val="2"/>
          <w:sz w:val="24"/>
          <w:szCs w:val="24"/>
          <w:lang w:val="en-US"/>
          <w14:ligatures w14:val="standardContextual"/>
        </w:rPr>
        <w:lastRenderedPageBreak/>
        <w:t>Table 1</w:t>
      </w:r>
      <w:r w:rsidRPr="009642E0">
        <w:rPr>
          <w:rFonts w:ascii="Times New Roman" w:eastAsia="Calibri" w:hAnsi="Times New Roman" w:cs="Times New Roman"/>
          <w:b/>
          <w:bCs/>
          <w:i/>
          <w:iCs/>
          <w:kern w:val="2"/>
          <w:sz w:val="20"/>
          <w:szCs w:val="20"/>
          <w:lang w:val="en-US"/>
          <w14:ligatures w14:val="standardContextual"/>
        </w:rPr>
        <w:br/>
      </w:r>
      <w:r w:rsidRPr="1193C325">
        <w:rPr>
          <w:rFonts w:ascii="Times New Roman" w:eastAsia="Calibri" w:hAnsi="Times New Roman" w:cs="Times New Roman"/>
          <w:i/>
          <w:iCs/>
          <w:kern w:val="2"/>
          <w:sz w:val="24"/>
          <w:szCs w:val="24"/>
          <w:lang w:val="en-US"/>
          <w14:ligatures w14:val="standardContextual"/>
        </w:rPr>
        <w:t xml:space="preserve">CASP </w:t>
      </w:r>
      <w:r w:rsidR="32860DBB" w:rsidRPr="1193C325">
        <w:rPr>
          <w:rFonts w:ascii="Times New Roman" w:eastAsia="Calibri" w:hAnsi="Times New Roman" w:cs="Times New Roman"/>
          <w:i/>
          <w:iCs/>
          <w:sz w:val="24"/>
          <w:szCs w:val="24"/>
          <w:lang w:val="en-US"/>
        </w:rPr>
        <w:t xml:space="preserve">Appraisal of </w:t>
      </w:r>
      <w:r w:rsidRPr="1193C325">
        <w:rPr>
          <w:rFonts w:ascii="Times New Roman" w:eastAsia="Calibri" w:hAnsi="Times New Roman" w:cs="Times New Roman"/>
          <w:i/>
          <w:iCs/>
          <w:sz w:val="24"/>
          <w:szCs w:val="24"/>
          <w:lang w:val="en-US"/>
        </w:rPr>
        <w:t>Systematic Review</w:t>
      </w:r>
      <w:r w:rsidR="3F52EFA7" w:rsidRPr="1193C325">
        <w:rPr>
          <w:rFonts w:ascii="Times New Roman" w:eastAsia="Calibri" w:hAnsi="Times New Roman" w:cs="Times New Roman"/>
          <w:i/>
          <w:iCs/>
          <w:sz w:val="24"/>
          <w:szCs w:val="24"/>
          <w:lang w:val="en-US"/>
        </w:rPr>
        <w:t>s</w:t>
      </w:r>
    </w:p>
    <w:tbl>
      <w:tblPr>
        <w:tblStyle w:val="TableGrid1"/>
        <w:tblW w:w="12950" w:type="dxa"/>
        <w:tblLook w:val="04A0" w:firstRow="1" w:lastRow="0" w:firstColumn="1" w:lastColumn="0" w:noHBand="0" w:noVBand="1"/>
      </w:tblPr>
      <w:tblGrid>
        <w:gridCol w:w="1335"/>
        <w:gridCol w:w="1080"/>
        <w:gridCol w:w="1200"/>
        <w:gridCol w:w="938"/>
        <w:gridCol w:w="961"/>
        <w:gridCol w:w="1127"/>
        <w:gridCol w:w="939"/>
        <w:gridCol w:w="1205"/>
        <w:gridCol w:w="990"/>
        <w:gridCol w:w="1230"/>
        <w:gridCol w:w="965"/>
        <w:gridCol w:w="980"/>
      </w:tblGrid>
      <w:tr w:rsidR="009642E0" w:rsidRPr="009642E0" w14:paraId="062C39A8" w14:textId="77777777" w:rsidTr="0320F0AF">
        <w:trPr>
          <w:trHeight w:val="432"/>
        </w:trPr>
        <w:tc>
          <w:tcPr>
            <w:tcW w:w="1335" w:type="dxa"/>
          </w:tcPr>
          <w:p w14:paraId="3189ECF6" w14:textId="77777777" w:rsidR="009642E0" w:rsidRPr="009642E0" w:rsidRDefault="009642E0" w:rsidP="23B78A03">
            <w:pPr>
              <w:spacing w:after="160" w:line="278" w:lineRule="auto"/>
              <w:rPr>
                <w:rFonts w:ascii="Times New Roman" w:hAnsi="Times New Roman"/>
                <w:sz w:val="18"/>
                <w:szCs w:val="18"/>
              </w:rPr>
            </w:pPr>
          </w:p>
        </w:tc>
        <w:tc>
          <w:tcPr>
            <w:tcW w:w="1080" w:type="dxa"/>
          </w:tcPr>
          <w:p w14:paraId="135476BB"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Clear Question</w:t>
            </w:r>
          </w:p>
        </w:tc>
        <w:tc>
          <w:tcPr>
            <w:tcW w:w="1200" w:type="dxa"/>
          </w:tcPr>
          <w:p w14:paraId="2A5BA3D9"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Appropriate Search</w:t>
            </w:r>
          </w:p>
        </w:tc>
        <w:tc>
          <w:tcPr>
            <w:tcW w:w="938" w:type="dxa"/>
          </w:tcPr>
          <w:p w14:paraId="18A9935A"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Relevant Studies</w:t>
            </w:r>
          </w:p>
        </w:tc>
        <w:tc>
          <w:tcPr>
            <w:tcW w:w="961" w:type="dxa"/>
          </w:tcPr>
          <w:p w14:paraId="3C869D2A"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Rigor Assessed</w:t>
            </w:r>
          </w:p>
        </w:tc>
        <w:tc>
          <w:tcPr>
            <w:tcW w:w="1127" w:type="dxa"/>
          </w:tcPr>
          <w:p w14:paraId="13483A50"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Data Extraction</w:t>
            </w:r>
          </w:p>
        </w:tc>
        <w:tc>
          <w:tcPr>
            <w:tcW w:w="939" w:type="dxa"/>
          </w:tcPr>
          <w:p w14:paraId="54F1D1AC"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Pooled Analysis</w:t>
            </w:r>
          </w:p>
        </w:tc>
        <w:tc>
          <w:tcPr>
            <w:tcW w:w="1205" w:type="dxa"/>
          </w:tcPr>
          <w:p w14:paraId="5C059FAE"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Limitations</w:t>
            </w:r>
          </w:p>
        </w:tc>
        <w:tc>
          <w:tcPr>
            <w:tcW w:w="990" w:type="dxa"/>
          </w:tcPr>
          <w:p w14:paraId="5ECBBB23"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Benefits vs. Harm</w:t>
            </w:r>
          </w:p>
        </w:tc>
        <w:tc>
          <w:tcPr>
            <w:tcW w:w="1230" w:type="dxa"/>
          </w:tcPr>
          <w:p w14:paraId="48D72141"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Applicability</w:t>
            </w:r>
          </w:p>
        </w:tc>
        <w:tc>
          <w:tcPr>
            <w:tcW w:w="965" w:type="dxa"/>
          </w:tcPr>
          <w:p w14:paraId="002397E7"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Clinical Value</w:t>
            </w:r>
          </w:p>
          <w:p w14:paraId="708731DC" w14:textId="77777777" w:rsidR="009642E0" w:rsidRPr="009642E0" w:rsidRDefault="009642E0" w:rsidP="23B78A03">
            <w:pPr>
              <w:spacing w:after="160" w:line="278" w:lineRule="auto"/>
              <w:rPr>
                <w:rFonts w:ascii="Times New Roman" w:hAnsi="Times New Roman"/>
                <w:b/>
                <w:bCs/>
                <w:sz w:val="18"/>
                <w:szCs w:val="18"/>
              </w:rPr>
            </w:pPr>
          </w:p>
        </w:tc>
        <w:tc>
          <w:tcPr>
            <w:tcW w:w="980" w:type="dxa"/>
          </w:tcPr>
          <w:p w14:paraId="0D90C6ED"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Score</w:t>
            </w:r>
          </w:p>
        </w:tc>
      </w:tr>
      <w:tr w:rsidR="009642E0" w:rsidRPr="009642E0" w14:paraId="36C3BEDF" w14:textId="77777777" w:rsidTr="0320F0AF">
        <w:trPr>
          <w:trHeight w:val="432"/>
        </w:trPr>
        <w:tc>
          <w:tcPr>
            <w:tcW w:w="1335" w:type="dxa"/>
          </w:tcPr>
          <w:p w14:paraId="69ACA76A"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Kendall et al., 2020</w:t>
            </w:r>
          </w:p>
        </w:tc>
        <w:tc>
          <w:tcPr>
            <w:tcW w:w="1080" w:type="dxa"/>
          </w:tcPr>
          <w:p w14:paraId="1F9F6EFE"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4271C5D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21BE979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1" w:type="dxa"/>
          </w:tcPr>
          <w:p w14:paraId="27CABD0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27C24CF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9" w:type="dxa"/>
          </w:tcPr>
          <w:p w14:paraId="6410A6DB"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6DDDFFB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78A704DC"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1230" w:type="dxa"/>
          </w:tcPr>
          <w:p w14:paraId="3A726AE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527CDB7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80" w:type="dxa"/>
          </w:tcPr>
          <w:p w14:paraId="1AFB539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17/20 (High quality)</w:t>
            </w:r>
          </w:p>
        </w:tc>
      </w:tr>
      <w:tr w:rsidR="009642E0" w:rsidRPr="009642E0" w14:paraId="44B7FE1B" w14:textId="77777777" w:rsidTr="0320F0AF">
        <w:trPr>
          <w:trHeight w:val="432"/>
        </w:trPr>
        <w:tc>
          <w:tcPr>
            <w:tcW w:w="1335" w:type="dxa"/>
          </w:tcPr>
          <w:p w14:paraId="0E7E4F20" w14:textId="77777777" w:rsidR="009642E0" w:rsidRPr="009642E0" w:rsidRDefault="1C8FB7B0" w:rsidP="0320F0AF">
            <w:pPr>
              <w:spacing w:after="160" w:line="278" w:lineRule="auto"/>
              <w:rPr>
                <w:rFonts w:ascii="Times New Roman" w:hAnsi="Times New Roman"/>
                <w:b/>
                <w:bCs/>
                <w:sz w:val="18"/>
                <w:szCs w:val="18"/>
              </w:rPr>
            </w:pPr>
            <w:r w:rsidRPr="0320F0AF">
              <w:rPr>
                <w:rFonts w:ascii="Times New Roman" w:hAnsi="Times New Roman"/>
                <w:b/>
                <w:bCs/>
                <w:sz w:val="18"/>
                <w:szCs w:val="18"/>
              </w:rPr>
              <w:t>Laguado et al., 2025</w:t>
            </w:r>
          </w:p>
        </w:tc>
        <w:tc>
          <w:tcPr>
            <w:tcW w:w="1080" w:type="dxa"/>
          </w:tcPr>
          <w:p w14:paraId="1EAE377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1C93D7C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6ECADD6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1" w:type="dxa"/>
          </w:tcPr>
          <w:p w14:paraId="779D14B4"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60303E7E"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9" w:type="dxa"/>
          </w:tcPr>
          <w:p w14:paraId="35DA406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10E5F7C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615F5BE4"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30" w:type="dxa"/>
          </w:tcPr>
          <w:p w14:paraId="2255286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37FC94F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80" w:type="dxa"/>
          </w:tcPr>
          <w:p w14:paraId="6FEBD0D9"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17/20 (High quality)</w:t>
            </w:r>
          </w:p>
        </w:tc>
      </w:tr>
      <w:tr w:rsidR="009642E0" w:rsidRPr="009642E0" w14:paraId="5C2CD687" w14:textId="77777777" w:rsidTr="0320F0AF">
        <w:trPr>
          <w:trHeight w:val="432"/>
        </w:trPr>
        <w:tc>
          <w:tcPr>
            <w:tcW w:w="1335" w:type="dxa"/>
          </w:tcPr>
          <w:p w14:paraId="518C6CEB"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Rajkovic et al., 2025</w:t>
            </w:r>
          </w:p>
        </w:tc>
        <w:tc>
          <w:tcPr>
            <w:tcW w:w="1080" w:type="dxa"/>
          </w:tcPr>
          <w:p w14:paraId="133B663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68CDF71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408D31C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1" w:type="dxa"/>
          </w:tcPr>
          <w:p w14:paraId="03BA916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27680F0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9" w:type="dxa"/>
          </w:tcPr>
          <w:p w14:paraId="5E1562B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757A261B"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6A14C92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30" w:type="dxa"/>
          </w:tcPr>
          <w:p w14:paraId="3A75B403"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50879E9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80" w:type="dxa"/>
          </w:tcPr>
          <w:p w14:paraId="7DDB2BD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17/20 (High quality)</w:t>
            </w:r>
          </w:p>
        </w:tc>
      </w:tr>
      <w:tr w:rsidR="009642E0" w:rsidRPr="009642E0" w14:paraId="4CD539DC" w14:textId="77777777" w:rsidTr="0320F0AF">
        <w:trPr>
          <w:trHeight w:val="432"/>
        </w:trPr>
        <w:tc>
          <w:tcPr>
            <w:tcW w:w="1335" w:type="dxa"/>
          </w:tcPr>
          <w:p w14:paraId="3F2EDE92" w14:textId="71240A77" w:rsidR="009642E0" w:rsidRPr="009642E0" w:rsidRDefault="004B313F" w:rsidP="23B78A03">
            <w:pPr>
              <w:spacing w:after="160" w:line="278" w:lineRule="auto"/>
              <w:rPr>
                <w:rFonts w:ascii="Times New Roman" w:hAnsi="Times New Roman"/>
                <w:b/>
                <w:bCs/>
                <w:sz w:val="18"/>
                <w:szCs w:val="18"/>
              </w:rPr>
            </w:pPr>
            <w:r>
              <w:rPr>
                <w:rFonts w:ascii="Times New Roman" w:hAnsi="Times New Roman"/>
                <w:b/>
                <w:bCs/>
                <w:sz w:val="18"/>
                <w:szCs w:val="18"/>
              </w:rPr>
              <w:t>Cheriyan et al., 2021</w:t>
            </w:r>
          </w:p>
        </w:tc>
        <w:tc>
          <w:tcPr>
            <w:tcW w:w="1080" w:type="dxa"/>
          </w:tcPr>
          <w:p w14:paraId="041D659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76CF814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119EC9A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61" w:type="dxa"/>
          </w:tcPr>
          <w:p w14:paraId="13AAA4C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147FEDA4"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39" w:type="dxa"/>
          </w:tcPr>
          <w:p w14:paraId="0ACC586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5C6897F3"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339A1D05"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30" w:type="dxa"/>
          </w:tcPr>
          <w:p w14:paraId="3A58173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607E8C7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80" w:type="dxa"/>
          </w:tcPr>
          <w:p w14:paraId="71E0818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16/20 (High quality)</w:t>
            </w:r>
          </w:p>
        </w:tc>
      </w:tr>
      <w:tr w:rsidR="009642E0" w:rsidRPr="009642E0" w14:paraId="7CE2B84C" w14:textId="77777777" w:rsidTr="0320F0AF">
        <w:trPr>
          <w:trHeight w:val="432"/>
        </w:trPr>
        <w:tc>
          <w:tcPr>
            <w:tcW w:w="1335" w:type="dxa"/>
          </w:tcPr>
          <w:p w14:paraId="2B197A79" w14:textId="77777777"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Xie et al., 2025</w:t>
            </w:r>
          </w:p>
        </w:tc>
        <w:tc>
          <w:tcPr>
            <w:tcW w:w="1080" w:type="dxa"/>
          </w:tcPr>
          <w:p w14:paraId="0B7C4DB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3ABE7CE9"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38CAD42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61" w:type="dxa"/>
          </w:tcPr>
          <w:p w14:paraId="5839D06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3CFC0EE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39" w:type="dxa"/>
          </w:tcPr>
          <w:p w14:paraId="2CD387F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4A13A103"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6E14D637"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30" w:type="dxa"/>
          </w:tcPr>
          <w:p w14:paraId="306AEBE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10E9A4F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80" w:type="dxa"/>
          </w:tcPr>
          <w:p w14:paraId="6E6A3E3E"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16/20 (Moderate quality)</w:t>
            </w:r>
          </w:p>
        </w:tc>
      </w:tr>
      <w:tr w:rsidR="009642E0" w:rsidRPr="009642E0" w14:paraId="6C79407A" w14:textId="77777777" w:rsidTr="0320F0AF">
        <w:trPr>
          <w:trHeight w:val="432"/>
        </w:trPr>
        <w:tc>
          <w:tcPr>
            <w:tcW w:w="1335" w:type="dxa"/>
          </w:tcPr>
          <w:p w14:paraId="20C52B7B" w14:textId="27429AD0" w:rsidR="009642E0" w:rsidRPr="009642E0" w:rsidRDefault="1C8FB7B0" w:rsidP="0320F0AF">
            <w:pPr>
              <w:spacing w:after="160" w:line="278" w:lineRule="auto"/>
              <w:rPr>
                <w:rFonts w:ascii="Times New Roman" w:hAnsi="Times New Roman"/>
                <w:b/>
                <w:bCs/>
                <w:sz w:val="18"/>
                <w:szCs w:val="18"/>
              </w:rPr>
            </w:pPr>
            <w:r w:rsidRPr="0320F0AF">
              <w:rPr>
                <w:rFonts w:ascii="Times New Roman" w:hAnsi="Times New Roman"/>
                <w:b/>
                <w:bCs/>
                <w:sz w:val="18"/>
                <w:szCs w:val="18"/>
              </w:rPr>
              <w:t xml:space="preserve">Hanna </w:t>
            </w:r>
            <w:r w:rsidR="49D57B3D" w:rsidRPr="0320F0AF">
              <w:rPr>
                <w:rFonts w:ascii="Times New Roman" w:hAnsi="Times New Roman"/>
                <w:b/>
                <w:bCs/>
                <w:sz w:val="18"/>
                <w:szCs w:val="18"/>
              </w:rPr>
              <w:t>&amp;</w:t>
            </w:r>
            <w:r w:rsidRPr="0320F0AF">
              <w:rPr>
                <w:rFonts w:ascii="Times New Roman" w:hAnsi="Times New Roman"/>
                <w:b/>
                <w:bCs/>
                <w:sz w:val="18"/>
                <w:szCs w:val="18"/>
              </w:rPr>
              <w:t xml:space="preserve"> Senderovich, 2021</w:t>
            </w:r>
          </w:p>
        </w:tc>
        <w:tc>
          <w:tcPr>
            <w:tcW w:w="1080" w:type="dxa"/>
          </w:tcPr>
          <w:p w14:paraId="4721C88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7615C6E4"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38" w:type="dxa"/>
          </w:tcPr>
          <w:p w14:paraId="3C7C045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61" w:type="dxa"/>
          </w:tcPr>
          <w:p w14:paraId="7CBFBD58"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62CFD233"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39" w:type="dxa"/>
          </w:tcPr>
          <w:p w14:paraId="59BFEAD5"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32A0D455"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5EFE8A6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30" w:type="dxa"/>
          </w:tcPr>
          <w:p w14:paraId="660FB2B5"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65" w:type="dxa"/>
          </w:tcPr>
          <w:p w14:paraId="0347B32F"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80" w:type="dxa"/>
          </w:tcPr>
          <w:p w14:paraId="70B1B4F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15/20 (Moderate quality)</w:t>
            </w:r>
          </w:p>
        </w:tc>
      </w:tr>
      <w:tr w:rsidR="009642E0" w:rsidRPr="009642E0" w14:paraId="51C958A6" w14:textId="77777777" w:rsidTr="0320F0AF">
        <w:trPr>
          <w:trHeight w:val="432"/>
        </w:trPr>
        <w:tc>
          <w:tcPr>
            <w:tcW w:w="1335" w:type="dxa"/>
          </w:tcPr>
          <w:p w14:paraId="02AB6EC0" w14:textId="77777777" w:rsidR="009642E0" w:rsidRPr="009642E0" w:rsidRDefault="1C8FB7B0" w:rsidP="0320F0AF">
            <w:pPr>
              <w:spacing w:after="160" w:line="278" w:lineRule="auto"/>
              <w:rPr>
                <w:rFonts w:ascii="Times New Roman" w:hAnsi="Times New Roman"/>
                <w:b/>
                <w:bCs/>
                <w:sz w:val="18"/>
                <w:szCs w:val="18"/>
              </w:rPr>
            </w:pPr>
            <w:r w:rsidRPr="0320F0AF">
              <w:rPr>
                <w:rFonts w:ascii="Times New Roman" w:hAnsi="Times New Roman"/>
                <w:b/>
                <w:bCs/>
                <w:sz w:val="18"/>
                <w:szCs w:val="18"/>
              </w:rPr>
              <w:t>Lobova et al., 2021</w:t>
            </w:r>
          </w:p>
        </w:tc>
        <w:tc>
          <w:tcPr>
            <w:tcW w:w="1080" w:type="dxa"/>
          </w:tcPr>
          <w:p w14:paraId="05C47AEB"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0" w:type="dxa"/>
          </w:tcPr>
          <w:p w14:paraId="5DAC4191"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38" w:type="dxa"/>
          </w:tcPr>
          <w:p w14:paraId="345C515A"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61" w:type="dxa"/>
          </w:tcPr>
          <w:p w14:paraId="54A9B3A6"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127" w:type="dxa"/>
          </w:tcPr>
          <w:p w14:paraId="0D5DCBDD"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39" w:type="dxa"/>
          </w:tcPr>
          <w:p w14:paraId="6262879E"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1205" w:type="dxa"/>
          </w:tcPr>
          <w:p w14:paraId="78F9AA49"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90" w:type="dxa"/>
          </w:tcPr>
          <w:p w14:paraId="1D06B652"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1230" w:type="dxa"/>
          </w:tcPr>
          <w:p w14:paraId="258D2EC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Yes</w:t>
            </w:r>
          </w:p>
        </w:tc>
        <w:tc>
          <w:tcPr>
            <w:tcW w:w="965" w:type="dxa"/>
          </w:tcPr>
          <w:p w14:paraId="34472FC0"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Unclear</w:t>
            </w:r>
          </w:p>
        </w:tc>
        <w:tc>
          <w:tcPr>
            <w:tcW w:w="980" w:type="dxa"/>
          </w:tcPr>
          <w:p w14:paraId="29FFB4D7" w14:textId="77777777" w:rsidR="009642E0" w:rsidRPr="009642E0" w:rsidRDefault="009642E0" w:rsidP="23B78A03">
            <w:pPr>
              <w:spacing w:after="160" w:line="278" w:lineRule="auto"/>
              <w:rPr>
                <w:rFonts w:ascii="Times New Roman" w:hAnsi="Times New Roman"/>
                <w:sz w:val="18"/>
                <w:szCs w:val="18"/>
              </w:rPr>
            </w:pPr>
            <w:r w:rsidRPr="23B78A03">
              <w:rPr>
                <w:rFonts w:ascii="Times New Roman" w:hAnsi="Times New Roman"/>
                <w:sz w:val="18"/>
                <w:szCs w:val="18"/>
              </w:rPr>
              <w:t>14/20 (Moderate quality)</w:t>
            </w:r>
          </w:p>
        </w:tc>
      </w:tr>
    </w:tbl>
    <w:p w14:paraId="345AA927" w14:textId="3F1D1F0F" w:rsidR="009642E0" w:rsidRPr="009642E0" w:rsidRDefault="009642E0" w:rsidP="38688B0C">
      <w:pPr>
        <w:spacing w:after="200" w:line="480" w:lineRule="auto"/>
        <w:rPr>
          <w:rFonts w:ascii="Times New Roman" w:eastAsia="Calibri" w:hAnsi="Times New Roman" w:cs="Times New Roman"/>
          <w:kern w:val="2"/>
          <w:sz w:val="24"/>
          <w:szCs w:val="24"/>
          <w:lang w:val="en-US"/>
          <w14:ligatures w14:val="standardContextual"/>
        </w:rPr>
      </w:pPr>
      <w:r w:rsidRPr="38688B0C">
        <w:rPr>
          <w:rFonts w:ascii="Times New Roman" w:eastAsia="Calibri" w:hAnsi="Times New Roman" w:cs="Times New Roman"/>
          <w:i/>
          <w:iCs/>
          <w:kern w:val="2"/>
          <w:sz w:val="24"/>
          <w:szCs w:val="24"/>
          <w:lang w:val="en-US"/>
          <w14:ligatures w14:val="standardContextual"/>
        </w:rPr>
        <w:t xml:space="preserve">Note. </w:t>
      </w:r>
      <w:r w:rsidRPr="38688B0C">
        <w:rPr>
          <w:rFonts w:ascii="Times New Roman" w:eastAsia="Calibri" w:hAnsi="Times New Roman" w:cs="Times New Roman"/>
          <w:kern w:val="2"/>
          <w:sz w:val="24"/>
          <w:szCs w:val="24"/>
          <w:lang w:val="en-US"/>
          <w14:ligatures w14:val="standardContextual"/>
        </w:rPr>
        <w:t xml:space="preserve">This table presents the methodological appraisal of systematic reviews using a modified Critical Appraisal Skills </w:t>
      </w:r>
      <w:proofErr w:type="spellStart"/>
      <w:r w:rsidRPr="38688B0C">
        <w:rPr>
          <w:rFonts w:ascii="Times New Roman" w:eastAsia="Calibri" w:hAnsi="Times New Roman" w:cs="Times New Roman"/>
          <w:kern w:val="2"/>
          <w:sz w:val="24"/>
          <w:szCs w:val="24"/>
          <w:lang w:val="en-US"/>
          <w14:ligatures w14:val="standardContextual"/>
        </w:rPr>
        <w:t>Programme</w:t>
      </w:r>
      <w:proofErr w:type="spellEnd"/>
      <w:r w:rsidRPr="38688B0C">
        <w:rPr>
          <w:rFonts w:ascii="Times New Roman" w:eastAsia="Calibri" w:hAnsi="Times New Roman" w:cs="Times New Roman"/>
          <w:kern w:val="2"/>
          <w:sz w:val="24"/>
          <w:szCs w:val="24"/>
          <w:lang w:val="en-US"/>
          <w14:ligatures w14:val="standardContextual"/>
        </w:rPr>
        <w:t xml:space="preserve"> (CASP) checklist. Appraisal items were scored as Yes = 2, Unclear = 1, or No = 0, with higher total scores indicating greater </w:t>
      </w:r>
      <w:r w:rsidRPr="38688B0C">
        <w:rPr>
          <w:rFonts w:ascii="Times New Roman" w:eastAsia="Calibri" w:hAnsi="Times New Roman" w:cs="Times New Roman"/>
          <w:kern w:val="2"/>
          <w:sz w:val="24"/>
          <w:szCs w:val="24"/>
          <w:lang w:val="en-US"/>
          <w14:ligatures w14:val="standardContextual"/>
        </w:rPr>
        <w:lastRenderedPageBreak/>
        <w:t xml:space="preserve">methodological quality. “Unclear” indicates insufficient reporting. Studies are presented in descending order of methodological quality, with alphabetical ordering applied when scores are equivalent. Abbreviation: CASP = Critical Appraisal Skills </w:t>
      </w:r>
      <w:proofErr w:type="spellStart"/>
      <w:r w:rsidRPr="38688B0C">
        <w:rPr>
          <w:rFonts w:ascii="Times New Roman" w:eastAsia="Calibri" w:hAnsi="Times New Roman" w:cs="Times New Roman"/>
          <w:kern w:val="2"/>
          <w:sz w:val="24"/>
          <w:szCs w:val="24"/>
          <w:lang w:val="en-US"/>
          <w14:ligatures w14:val="standardContextual"/>
        </w:rPr>
        <w:t>Programme</w:t>
      </w:r>
      <w:proofErr w:type="spellEnd"/>
      <w:r w:rsidRPr="38688B0C">
        <w:rPr>
          <w:rFonts w:ascii="Times New Roman" w:eastAsia="Calibri" w:hAnsi="Times New Roman" w:cs="Times New Roman"/>
          <w:kern w:val="2"/>
          <w:sz w:val="24"/>
          <w:szCs w:val="24"/>
          <w:lang w:val="en-US"/>
          <w14:ligatures w14:val="standardContextual"/>
        </w:rPr>
        <w:t>.</w:t>
      </w:r>
    </w:p>
    <w:p w14:paraId="38C06FFA" w14:textId="77777777" w:rsidR="009642E0" w:rsidRPr="009642E0" w:rsidRDefault="009642E0" w:rsidP="009642E0">
      <w:pPr>
        <w:keepNext/>
        <w:spacing w:after="200" w:line="240" w:lineRule="auto"/>
        <w:rPr>
          <w:rFonts w:ascii="Times New Roman" w:eastAsia="Calibri" w:hAnsi="Times New Roman" w:cs="Times New Roman"/>
          <w:b/>
          <w:bCs/>
          <w:kern w:val="2"/>
          <w:sz w:val="24"/>
          <w:szCs w:val="24"/>
          <w:lang w:val="en-US"/>
          <w14:ligatures w14:val="standardContextual"/>
        </w:rPr>
      </w:pPr>
      <w:r w:rsidRPr="009642E0">
        <w:rPr>
          <w:rFonts w:ascii="Times New Roman" w:eastAsia="Calibri" w:hAnsi="Times New Roman" w:cs="Times New Roman"/>
          <w:b/>
          <w:bCs/>
          <w:kern w:val="2"/>
          <w:sz w:val="24"/>
          <w:szCs w:val="24"/>
          <w:lang w:val="en-US"/>
          <w14:ligatures w14:val="standardContextual"/>
        </w:rPr>
        <w:t>Table 2</w:t>
      </w:r>
      <w:r w:rsidRPr="009642E0">
        <w:rPr>
          <w:rFonts w:ascii="Times New Roman" w:eastAsia="Calibri" w:hAnsi="Times New Roman" w:cs="Times New Roman"/>
          <w:i/>
          <w:iCs/>
          <w:color w:val="44546A"/>
          <w:kern w:val="2"/>
          <w:sz w:val="24"/>
          <w:szCs w:val="24"/>
          <w:lang w:val="en-US"/>
          <w14:ligatures w14:val="standardContextual"/>
        </w:rPr>
        <w:br/>
      </w:r>
      <w:r w:rsidRPr="38688B0C">
        <w:rPr>
          <w:rFonts w:ascii="Times New Roman" w:eastAsia="Calibri" w:hAnsi="Times New Roman" w:cs="Times New Roman"/>
          <w:i/>
          <w:iCs/>
          <w:kern w:val="2"/>
          <w:sz w:val="24"/>
          <w:szCs w:val="24"/>
          <w:lang w:val="en-US"/>
          <w14:ligatures w14:val="standardContextual"/>
        </w:rPr>
        <w:t>CASP Appraisal of Randomized Controlled Trials</w:t>
      </w:r>
    </w:p>
    <w:tbl>
      <w:tblPr>
        <w:tblStyle w:val="TableGrid2"/>
        <w:tblpPr w:leftFromText="180" w:rightFromText="180" w:vertAnchor="text" w:tblpX="-424" w:tblpY="1"/>
        <w:tblOverlap w:val="never"/>
        <w:tblW w:w="13383" w:type="dxa"/>
        <w:tblLook w:val="0480" w:firstRow="0" w:lastRow="0" w:firstColumn="1" w:lastColumn="0" w:noHBand="0" w:noVBand="1"/>
      </w:tblPr>
      <w:tblGrid>
        <w:gridCol w:w="1050"/>
        <w:gridCol w:w="960"/>
        <w:gridCol w:w="1410"/>
        <w:gridCol w:w="1215"/>
        <w:gridCol w:w="900"/>
        <w:gridCol w:w="1005"/>
        <w:gridCol w:w="1050"/>
        <w:gridCol w:w="945"/>
        <w:gridCol w:w="945"/>
        <w:gridCol w:w="825"/>
        <w:gridCol w:w="1245"/>
        <w:gridCol w:w="855"/>
        <w:gridCol w:w="978"/>
      </w:tblGrid>
      <w:tr w:rsidR="009642E0" w:rsidRPr="009642E0" w14:paraId="21655231" w14:textId="77777777" w:rsidTr="23B78A03">
        <w:trPr>
          <w:trHeight w:val="432"/>
        </w:trPr>
        <w:tc>
          <w:tcPr>
            <w:tcW w:w="1050" w:type="dxa"/>
          </w:tcPr>
          <w:p w14:paraId="49948DDB" w14:textId="77777777" w:rsidR="009642E0" w:rsidRPr="009642E0" w:rsidRDefault="009642E0" w:rsidP="009642E0">
            <w:pPr>
              <w:spacing w:after="160" w:line="278" w:lineRule="auto"/>
              <w:rPr>
                <w:rFonts w:ascii="Times New Roman" w:hAnsi="Times New Roman"/>
                <w:sz w:val="18"/>
                <w:szCs w:val="18"/>
              </w:rPr>
            </w:pPr>
          </w:p>
        </w:tc>
        <w:tc>
          <w:tcPr>
            <w:tcW w:w="960" w:type="dxa"/>
          </w:tcPr>
          <w:p w14:paraId="6312E1B3"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Clear Question</w:t>
            </w:r>
          </w:p>
        </w:tc>
        <w:tc>
          <w:tcPr>
            <w:tcW w:w="1410" w:type="dxa"/>
          </w:tcPr>
          <w:p w14:paraId="66697361"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Randomization</w:t>
            </w:r>
          </w:p>
        </w:tc>
        <w:tc>
          <w:tcPr>
            <w:tcW w:w="1215" w:type="dxa"/>
          </w:tcPr>
          <w:p w14:paraId="767C4AE5"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Participants Accounted For</w:t>
            </w:r>
          </w:p>
        </w:tc>
        <w:tc>
          <w:tcPr>
            <w:tcW w:w="900" w:type="dxa"/>
          </w:tcPr>
          <w:p w14:paraId="19521A4C"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Blinding</w:t>
            </w:r>
          </w:p>
        </w:tc>
        <w:tc>
          <w:tcPr>
            <w:tcW w:w="1005" w:type="dxa"/>
          </w:tcPr>
          <w:p w14:paraId="7DC786AF"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Baseline Similarity</w:t>
            </w:r>
          </w:p>
        </w:tc>
        <w:tc>
          <w:tcPr>
            <w:tcW w:w="1050" w:type="dxa"/>
          </w:tcPr>
          <w:p w14:paraId="6A86E6CD"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Equal Treatment</w:t>
            </w:r>
          </w:p>
        </w:tc>
        <w:tc>
          <w:tcPr>
            <w:tcW w:w="945" w:type="dxa"/>
          </w:tcPr>
          <w:p w14:paraId="545130CC"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Results Reported</w:t>
            </w:r>
          </w:p>
        </w:tc>
        <w:tc>
          <w:tcPr>
            <w:tcW w:w="945" w:type="dxa"/>
          </w:tcPr>
          <w:p w14:paraId="49C9D248"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Precision</w:t>
            </w:r>
          </w:p>
        </w:tc>
        <w:tc>
          <w:tcPr>
            <w:tcW w:w="825" w:type="dxa"/>
          </w:tcPr>
          <w:p w14:paraId="5E94FBA1" w14:textId="1EC6A97B" w:rsidR="009642E0" w:rsidRPr="009642E0" w:rsidRDefault="009642E0" w:rsidP="23B78A03">
            <w:pPr>
              <w:spacing w:after="160" w:line="278" w:lineRule="auto"/>
              <w:rPr>
                <w:rFonts w:ascii="Times New Roman" w:hAnsi="Times New Roman"/>
                <w:b/>
                <w:bCs/>
                <w:sz w:val="18"/>
                <w:szCs w:val="18"/>
              </w:rPr>
            </w:pPr>
            <w:r w:rsidRPr="23B78A03">
              <w:rPr>
                <w:rFonts w:ascii="Times New Roman" w:hAnsi="Times New Roman"/>
                <w:b/>
                <w:bCs/>
                <w:sz w:val="18"/>
                <w:szCs w:val="18"/>
              </w:rPr>
              <w:t>Benefit</w:t>
            </w:r>
            <w:r w:rsidR="00AD648C">
              <w:rPr>
                <w:rFonts w:ascii="Times New Roman" w:hAnsi="Times New Roman"/>
                <w:b/>
                <w:bCs/>
                <w:sz w:val="18"/>
                <w:szCs w:val="18"/>
              </w:rPr>
              <w:t xml:space="preserve"> </w:t>
            </w:r>
            <w:r w:rsidRPr="23B78A03">
              <w:rPr>
                <w:rFonts w:ascii="Times New Roman" w:hAnsi="Times New Roman"/>
                <w:b/>
                <w:bCs/>
                <w:sz w:val="18"/>
                <w:szCs w:val="18"/>
              </w:rPr>
              <w:t>vs</w:t>
            </w:r>
            <w:r w:rsidR="005633C7">
              <w:rPr>
                <w:rFonts w:ascii="Times New Roman" w:hAnsi="Times New Roman"/>
                <w:b/>
                <w:bCs/>
                <w:sz w:val="18"/>
                <w:szCs w:val="18"/>
              </w:rPr>
              <w:t xml:space="preserve">. </w:t>
            </w:r>
            <w:r w:rsidRPr="23B78A03">
              <w:rPr>
                <w:rFonts w:ascii="Times New Roman" w:hAnsi="Times New Roman"/>
                <w:b/>
                <w:bCs/>
                <w:sz w:val="18"/>
                <w:szCs w:val="18"/>
              </w:rPr>
              <w:t>Harm</w:t>
            </w:r>
          </w:p>
        </w:tc>
        <w:tc>
          <w:tcPr>
            <w:tcW w:w="1245" w:type="dxa"/>
          </w:tcPr>
          <w:p w14:paraId="148649C6"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Applicability</w:t>
            </w:r>
          </w:p>
        </w:tc>
        <w:tc>
          <w:tcPr>
            <w:tcW w:w="855" w:type="dxa"/>
          </w:tcPr>
          <w:p w14:paraId="7EC8F530"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Clinical Value</w:t>
            </w:r>
          </w:p>
        </w:tc>
        <w:tc>
          <w:tcPr>
            <w:tcW w:w="978" w:type="dxa"/>
          </w:tcPr>
          <w:p w14:paraId="7E731E7B"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Score</w:t>
            </w:r>
          </w:p>
        </w:tc>
      </w:tr>
      <w:tr w:rsidR="009642E0" w:rsidRPr="009642E0" w14:paraId="5787E30E" w14:textId="77777777" w:rsidTr="23B78A03">
        <w:trPr>
          <w:trHeight w:val="630"/>
        </w:trPr>
        <w:tc>
          <w:tcPr>
            <w:tcW w:w="1050" w:type="dxa"/>
          </w:tcPr>
          <w:p w14:paraId="470EDEDE"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Pontes et al., 2021</w:t>
            </w:r>
          </w:p>
        </w:tc>
        <w:tc>
          <w:tcPr>
            <w:tcW w:w="960" w:type="dxa"/>
          </w:tcPr>
          <w:p w14:paraId="2088C5EA"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410" w:type="dxa"/>
          </w:tcPr>
          <w:p w14:paraId="3A1D5EA0"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15" w:type="dxa"/>
          </w:tcPr>
          <w:p w14:paraId="13C3F7F2"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00" w:type="dxa"/>
          </w:tcPr>
          <w:p w14:paraId="600BADE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05" w:type="dxa"/>
          </w:tcPr>
          <w:p w14:paraId="3B1AFFC3"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50" w:type="dxa"/>
          </w:tcPr>
          <w:p w14:paraId="15D29FF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4C4F0B63"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0F74B43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825" w:type="dxa"/>
          </w:tcPr>
          <w:p w14:paraId="0B31DD33"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45" w:type="dxa"/>
          </w:tcPr>
          <w:p w14:paraId="12FFAAB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55" w:type="dxa"/>
          </w:tcPr>
          <w:p w14:paraId="75462438"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78" w:type="dxa"/>
          </w:tcPr>
          <w:p w14:paraId="1EE87973"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21/22 (High quality)</w:t>
            </w:r>
          </w:p>
        </w:tc>
      </w:tr>
      <w:tr w:rsidR="009642E0" w:rsidRPr="009642E0" w14:paraId="59E0AD77" w14:textId="77777777" w:rsidTr="23B78A03">
        <w:trPr>
          <w:trHeight w:val="615"/>
        </w:trPr>
        <w:tc>
          <w:tcPr>
            <w:tcW w:w="1050" w:type="dxa"/>
          </w:tcPr>
          <w:p w14:paraId="131E655B"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Arriaza et al., 2021</w:t>
            </w:r>
          </w:p>
        </w:tc>
        <w:tc>
          <w:tcPr>
            <w:tcW w:w="960" w:type="dxa"/>
          </w:tcPr>
          <w:p w14:paraId="102322A9"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410" w:type="dxa"/>
          </w:tcPr>
          <w:p w14:paraId="2EF575A0"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15" w:type="dxa"/>
          </w:tcPr>
          <w:p w14:paraId="19AE58DD"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00" w:type="dxa"/>
          </w:tcPr>
          <w:p w14:paraId="5093D2AD"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05" w:type="dxa"/>
          </w:tcPr>
          <w:p w14:paraId="5206201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50" w:type="dxa"/>
          </w:tcPr>
          <w:p w14:paraId="500B26F8"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56E2CC89"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55CD98CE"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825" w:type="dxa"/>
          </w:tcPr>
          <w:p w14:paraId="4B6C0C66"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45" w:type="dxa"/>
          </w:tcPr>
          <w:p w14:paraId="0B247EAC"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55" w:type="dxa"/>
          </w:tcPr>
          <w:p w14:paraId="121C4941"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78" w:type="dxa"/>
          </w:tcPr>
          <w:p w14:paraId="62330200"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20/22 (High quality)</w:t>
            </w:r>
          </w:p>
        </w:tc>
      </w:tr>
      <w:tr w:rsidR="009642E0" w:rsidRPr="009642E0" w14:paraId="27CA732A" w14:textId="77777777" w:rsidTr="23B78A03">
        <w:trPr>
          <w:trHeight w:val="492"/>
        </w:trPr>
        <w:tc>
          <w:tcPr>
            <w:tcW w:w="1050" w:type="dxa"/>
          </w:tcPr>
          <w:p w14:paraId="1B6B848D"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Murphy et al., 2021</w:t>
            </w:r>
          </w:p>
        </w:tc>
        <w:tc>
          <w:tcPr>
            <w:tcW w:w="960" w:type="dxa"/>
          </w:tcPr>
          <w:p w14:paraId="06C8D24B"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1410" w:type="dxa"/>
          </w:tcPr>
          <w:p w14:paraId="61383C25"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1215" w:type="dxa"/>
          </w:tcPr>
          <w:p w14:paraId="45683A6C"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Unclear</w:t>
            </w:r>
          </w:p>
        </w:tc>
        <w:tc>
          <w:tcPr>
            <w:tcW w:w="900" w:type="dxa"/>
          </w:tcPr>
          <w:p w14:paraId="4A96190D"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1005" w:type="dxa"/>
          </w:tcPr>
          <w:p w14:paraId="7B4BDD10"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Unclear</w:t>
            </w:r>
          </w:p>
        </w:tc>
        <w:tc>
          <w:tcPr>
            <w:tcW w:w="1050" w:type="dxa"/>
          </w:tcPr>
          <w:p w14:paraId="286CAABF"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945" w:type="dxa"/>
          </w:tcPr>
          <w:p w14:paraId="6BDF25A5"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945" w:type="dxa"/>
          </w:tcPr>
          <w:p w14:paraId="6AB416FC"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Unclear</w:t>
            </w:r>
          </w:p>
        </w:tc>
        <w:tc>
          <w:tcPr>
            <w:tcW w:w="825" w:type="dxa"/>
          </w:tcPr>
          <w:p w14:paraId="19E2BF0E"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1245" w:type="dxa"/>
          </w:tcPr>
          <w:p w14:paraId="2AC83914"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855" w:type="dxa"/>
          </w:tcPr>
          <w:p w14:paraId="5E42888F"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Yes</w:t>
            </w:r>
          </w:p>
        </w:tc>
        <w:tc>
          <w:tcPr>
            <w:tcW w:w="978" w:type="dxa"/>
          </w:tcPr>
          <w:p w14:paraId="397DBD0D"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sz w:val="18"/>
                <w:szCs w:val="18"/>
              </w:rPr>
              <w:t>19/22 (High quality)</w:t>
            </w:r>
          </w:p>
        </w:tc>
      </w:tr>
      <w:tr w:rsidR="009642E0" w:rsidRPr="009642E0" w14:paraId="30A424ED" w14:textId="77777777" w:rsidTr="23B78A03">
        <w:trPr>
          <w:trHeight w:val="492"/>
        </w:trPr>
        <w:tc>
          <w:tcPr>
            <w:tcW w:w="1050" w:type="dxa"/>
          </w:tcPr>
          <w:p w14:paraId="1CB0EB20"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Uhrbrand et al., 2025</w:t>
            </w:r>
          </w:p>
        </w:tc>
        <w:tc>
          <w:tcPr>
            <w:tcW w:w="960" w:type="dxa"/>
          </w:tcPr>
          <w:p w14:paraId="4A38EE6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410" w:type="dxa"/>
          </w:tcPr>
          <w:p w14:paraId="052000EE"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15" w:type="dxa"/>
          </w:tcPr>
          <w:p w14:paraId="37D04D7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00" w:type="dxa"/>
          </w:tcPr>
          <w:p w14:paraId="4D382E50"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05" w:type="dxa"/>
          </w:tcPr>
          <w:p w14:paraId="7F557E5D"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50" w:type="dxa"/>
          </w:tcPr>
          <w:p w14:paraId="0DDDA4A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0B037A76"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1F7DACC7"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825" w:type="dxa"/>
          </w:tcPr>
          <w:p w14:paraId="335A12B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1245" w:type="dxa"/>
          </w:tcPr>
          <w:p w14:paraId="218C5703"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55" w:type="dxa"/>
          </w:tcPr>
          <w:p w14:paraId="1FF2DCD7"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78" w:type="dxa"/>
          </w:tcPr>
          <w:p w14:paraId="430EFA46"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18/22 (High quality)</w:t>
            </w:r>
          </w:p>
        </w:tc>
      </w:tr>
      <w:tr w:rsidR="009642E0" w:rsidRPr="009642E0" w14:paraId="574147D2" w14:textId="77777777" w:rsidTr="23B78A03">
        <w:trPr>
          <w:trHeight w:val="735"/>
        </w:trPr>
        <w:tc>
          <w:tcPr>
            <w:tcW w:w="1050" w:type="dxa"/>
          </w:tcPr>
          <w:p w14:paraId="2429553E"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Kharasch et al., 2023</w:t>
            </w:r>
          </w:p>
        </w:tc>
        <w:tc>
          <w:tcPr>
            <w:tcW w:w="960" w:type="dxa"/>
          </w:tcPr>
          <w:p w14:paraId="60B7E76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410" w:type="dxa"/>
          </w:tcPr>
          <w:p w14:paraId="0A34C631"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15" w:type="dxa"/>
          </w:tcPr>
          <w:p w14:paraId="25A3F7A1"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00" w:type="dxa"/>
          </w:tcPr>
          <w:p w14:paraId="1E5FAD50"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1005" w:type="dxa"/>
          </w:tcPr>
          <w:p w14:paraId="57889706"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50" w:type="dxa"/>
          </w:tcPr>
          <w:p w14:paraId="2E16AD87"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45" w:type="dxa"/>
          </w:tcPr>
          <w:p w14:paraId="370BE08C"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5DB21FCB"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No</w:t>
            </w:r>
          </w:p>
        </w:tc>
        <w:tc>
          <w:tcPr>
            <w:tcW w:w="825" w:type="dxa"/>
          </w:tcPr>
          <w:p w14:paraId="157A8CC9"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1245" w:type="dxa"/>
          </w:tcPr>
          <w:p w14:paraId="1977ACED"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55" w:type="dxa"/>
          </w:tcPr>
          <w:p w14:paraId="1F31B287"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78" w:type="dxa"/>
          </w:tcPr>
          <w:p w14:paraId="509AA1E2"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16/22 (Moderate quality)</w:t>
            </w:r>
          </w:p>
        </w:tc>
      </w:tr>
      <w:tr w:rsidR="009642E0" w:rsidRPr="009642E0" w14:paraId="1D4A8B34" w14:textId="77777777" w:rsidTr="23B78A03">
        <w:trPr>
          <w:trHeight w:val="480"/>
        </w:trPr>
        <w:tc>
          <w:tcPr>
            <w:tcW w:w="1050" w:type="dxa"/>
          </w:tcPr>
          <w:p w14:paraId="7E6D32A1" w14:textId="77777777" w:rsidR="009642E0" w:rsidRPr="009642E0" w:rsidRDefault="009642E0" w:rsidP="009642E0">
            <w:pPr>
              <w:spacing w:after="160" w:line="278" w:lineRule="auto"/>
              <w:rPr>
                <w:rFonts w:ascii="Times New Roman" w:hAnsi="Times New Roman"/>
                <w:b/>
                <w:bCs/>
                <w:sz w:val="18"/>
                <w:szCs w:val="18"/>
              </w:rPr>
            </w:pPr>
            <w:r w:rsidRPr="009642E0">
              <w:rPr>
                <w:rFonts w:ascii="Times New Roman" w:hAnsi="Times New Roman"/>
                <w:b/>
                <w:bCs/>
                <w:sz w:val="18"/>
                <w:szCs w:val="18"/>
              </w:rPr>
              <w:t>Green et al., 2024</w:t>
            </w:r>
          </w:p>
        </w:tc>
        <w:tc>
          <w:tcPr>
            <w:tcW w:w="960" w:type="dxa"/>
          </w:tcPr>
          <w:p w14:paraId="3E3C478B"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410" w:type="dxa"/>
          </w:tcPr>
          <w:p w14:paraId="29917F7B"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15" w:type="dxa"/>
          </w:tcPr>
          <w:p w14:paraId="4DD45F4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00" w:type="dxa"/>
          </w:tcPr>
          <w:p w14:paraId="67593A6E"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No</w:t>
            </w:r>
          </w:p>
        </w:tc>
        <w:tc>
          <w:tcPr>
            <w:tcW w:w="1005" w:type="dxa"/>
          </w:tcPr>
          <w:p w14:paraId="65237AE8"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050" w:type="dxa"/>
          </w:tcPr>
          <w:p w14:paraId="1D2EF42B"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45" w:type="dxa"/>
          </w:tcPr>
          <w:p w14:paraId="2D59DFF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945" w:type="dxa"/>
          </w:tcPr>
          <w:p w14:paraId="6BF14E4F"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25" w:type="dxa"/>
          </w:tcPr>
          <w:p w14:paraId="23560F28"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1245" w:type="dxa"/>
          </w:tcPr>
          <w:p w14:paraId="37903F15"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Yes</w:t>
            </w:r>
          </w:p>
        </w:tc>
        <w:tc>
          <w:tcPr>
            <w:tcW w:w="855" w:type="dxa"/>
          </w:tcPr>
          <w:p w14:paraId="33D0E265"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Unclear</w:t>
            </w:r>
          </w:p>
        </w:tc>
        <w:tc>
          <w:tcPr>
            <w:tcW w:w="978" w:type="dxa"/>
          </w:tcPr>
          <w:p w14:paraId="6F8A0764" w14:textId="77777777" w:rsidR="009642E0" w:rsidRPr="009642E0" w:rsidRDefault="009642E0" w:rsidP="009642E0">
            <w:pPr>
              <w:spacing w:after="160" w:line="278" w:lineRule="auto"/>
              <w:rPr>
                <w:rFonts w:ascii="Times New Roman" w:hAnsi="Times New Roman"/>
                <w:sz w:val="18"/>
                <w:szCs w:val="18"/>
              </w:rPr>
            </w:pPr>
            <w:r w:rsidRPr="009642E0">
              <w:rPr>
                <w:rFonts w:ascii="Times New Roman" w:hAnsi="Times New Roman"/>
                <w:sz w:val="18"/>
                <w:szCs w:val="18"/>
              </w:rPr>
              <w:t>15/22 (Moderate quality)</w:t>
            </w:r>
          </w:p>
        </w:tc>
      </w:tr>
    </w:tbl>
    <w:p w14:paraId="4FCB17BE" w14:textId="77777777" w:rsidR="009642E0" w:rsidRPr="009642E0" w:rsidRDefault="009642E0" w:rsidP="009642E0">
      <w:pPr>
        <w:spacing w:after="160" w:line="480" w:lineRule="auto"/>
        <w:rPr>
          <w:rFonts w:ascii="Times New Roman" w:eastAsia="Calibri" w:hAnsi="Times New Roman" w:cs="Times New Roman"/>
          <w:kern w:val="2"/>
          <w:sz w:val="24"/>
          <w:szCs w:val="24"/>
          <w:lang w:val="en-US"/>
          <w14:ligatures w14:val="standardContextual"/>
        </w:rPr>
      </w:pPr>
      <w:r w:rsidRPr="38688B0C">
        <w:rPr>
          <w:rFonts w:ascii="Times New Roman" w:eastAsia="Calibri" w:hAnsi="Times New Roman" w:cs="Times New Roman"/>
          <w:i/>
          <w:iCs/>
          <w:kern w:val="2"/>
          <w:sz w:val="24"/>
          <w:szCs w:val="24"/>
          <w:lang w:val="en-US"/>
          <w14:ligatures w14:val="standardContextual"/>
        </w:rPr>
        <w:t>Note.</w:t>
      </w:r>
      <w:r w:rsidRPr="009642E0">
        <w:rPr>
          <w:rFonts w:ascii="Times New Roman" w:eastAsia="Calibri" w:hAnsi="Times New Roman" w:cs="Times New Roman"/>
          <w:kern w:val="2"/>
          <w:sz w:val="24"/>
          <w:szCs w:val="24"/>
          <w:lang w:val="en-US"/>
          <w14:ligatures w14:val="standardContextual"/>
        </w:rPr>
        <w:t xml:space="preserve"> This table presents the methodological appraisal of randomized controlled trials using a modified Critical Appraisal Skills </w:t>
      </w:r>
      <w:proofErr w:type="spellStart"/>
      <w:r w:rsidRPr="009642E0">
        <w:rPr>
          <w:rFonts w:ascii="Times New Roman" w:eastAsia="Calibri" w:hAnsi="Times New Roman" w:cs="Times New Roman"/>
          <w:kern w:val="2"/>
          <w:sz w:val="24"/>
          <w:szCs w:val="24"/>
          <w:lang w:val="en-US"/>
          <w14:ligatures w14:val="standardContextual"/>
        </w:rPr>
        <w:t>Programme</w:t>
      </w:r>
      <w:proofErr w:type="spellEnd"/>
      <w:r w:rsidRPr="009642E0">
        <w:rPr>
          <w:rFonts w:ascii="Times New Roman" w:eastAsia="Calibri" w:hAnsi="Times New Roman" w:cs="Times New Roman"/>
          <w:kern w:val="2"/>
          <w:sz w:val="24"/>
          <w:szCs w:val="24"/>
          <w:lang w:val="en-US"/>
          <w14:ligatures w14:val="standardContextual"/>
        </w:rPr>
        <w:t xml:space="preserve"> (CASP) checklist. Items were scored as Yes = 2, Unclear = 1, or No = 0, with higher scores indicating stronger </w:t>
      </w:r>
      <w:r w:rsidRPr="009642E0">
        <w:rPr>
          <w:rFonts w:ascii="Times New Roman" w:eastAsia="Calibri" w:hAnsi="Times New Roman" w:cs="Times New Roman"/>
          <w:kern w:val="2"/>
          <w:sz w:val="24"/>
          <w:szCs w:val="24"/>
          <w:lang w:val="en-US"/>
          <w14:ligatures w14:val="standardContextual"/>
        </w:rPr>
        <w:lastRenderedPageBreak/>
        <w:t xml:space="preserve">methodological quality. “Unclear” reflects insufficient reporting. All included studies represent Level II evidence. Studies are presented in descending order of methodological quality, with alphabetical ordering applied when scores are equivalent. Abbreviations: CASP = Critical Appraisal Skills </w:t>
      </w:r>
      <w:proofErr w:type="spellStart"/>
      <w:r w:rsidRPr="009642E0">
        <w:rPr>
          <w:rFonts w:ascii="Times New Roman" w:eastAsia="Calibri" w:hAnsi="Times New Roman" w:cs="Times New Roman"/>
          <w:kern w:val="2"/>
          <w:sz w:val="24"/>
          <w:szCs w:val="24"/>
          <w:lang w:val="en-US"/>
          <w14:ligatures w14:val="standardContextual"/>
        </w:rPr>
        <w:t>Programme</w:t>
      </w:r>
      <w:proofErr w:type="spellEnd"/>
      <w:r w:rsidRPr="009642E0">
        <w:rPr>
          <w:rFonts w:ascii="Times New Roman" w:eastAsia="Calibri" w:hAnsi="Times New Roman" w:cs="Times New Roman"/>
          <w:kern w:val="2"/>
          <w:sz w:val="24"/>
          <w:szCs w:val="24"/>
          <w:lang w:val="en-US"/>
          <w14:ligatures w14:val="standardContextual"/>
        </w:rPr>
        <w:t>; RCT = randomized controlled trial.</w:t>
      </w:r>
    </w:p>
    <w:p w14:paraId="79D9CBD5" w14:textId="77777777" w:rsidR="009642E0" w:rsidRPr="009642E0" w:rsidRDefault="009642E0" w:rsidP="38688B0C">
      <w:pPr>
        <w:keepNext/>
        <w:spacing w:after="200" w:line="240" w:lineRule="auto"/>
        <w:rPr>
          <w:rFonts w:ascii="Times New Roman" w:eastAsia="Calibri" w:hAnsi="Times New Roman" w:cs="Times New Roman"/>
          <w:b/>
          <w:bCs/>
          <w:i/>
          <w:iCs/>
          <w:kern w:val="2"/>
          <w:sz w:val="24"/>
          <w:szCs w:val="24"/>
          <w:lang w:val="en-US"/>
          <w14:ligatures w14:val="standardContextual"/>
        </w:rPr>
      </w:pPr>
      <w:r w:rsidRPr="009642E0">
        <w:rPr>
          <w:rFonts w:ascii="Times New Roman" w:eastAsia="Calibri" w:hAnsi="Times New Roman" w:cs="Times New Roman"/>
          <w:b/>
          <w:bCs/>
          <w:kern w:val="2"/>
          <w:sz w:val="24"/>
          <w:szCs w:val="24"/>
          <w:lang w:val="en-US"/>
          <w14:ligatures w14:val="standardContextual"/>
        </w:rPr>
        <w:t>Table 3</w:t>
      </w:r>
      <w:r w:rsidRPr="009642E0">
        <w:rPr>
          <w:rFonts w:ascii="Times New Roman" w:eastAsia="Calibri" w:hAnsi="Times New Roman" w:cs="Times New Roman"/>
          <w:b/>
          <w:bCs/>
          <w:i/>
          <w:iCs/>
          <w:kern w:val="2"/>
          <w:sz w:val="24"/>
          <w:szCs w:val="24"/>
          <w:lang w:val="en-US"/>
          <w14:ligatures w14:val="standardContextual"/>
        </w:rPr>
        <w:br/>
      </w:r>
      <w:r w:rsidRPr="38688B0C">
        <w:rPr>
          <w:rFonts w:ascii="Times New Roman" w:eastAsia="Calibri" w:hAnsi="Times New Roman" w:cs="Times New Roman"/>
          <w:i/>
          <w:iCs/>
          <w:kern w:val="2"/>
          <w:sz w:val="24"/>
          <w:szCs w:val="24"/>
          <w:lang w:val="en-US"/>
          <w14:ligatures w14:val="standardContextual"/>
        </w:rPr>
        <w:t>CASP Appraisal of Level III–V Evidence</w:t>
      </w:r>
    </w:p>
    <w:tbl>
      <w:tblPr>
        <w:tblStyle w:val="TableGrid3"/>
        <w:tblW w:w="13391" w:type="dxa"/>
        <w:tblInd w:w="-441" w:type="dxa"/>
        <w:tblLook w:val="04A0" w:firstRow="1" w:lastRow="0" w:firstColumn="1" w:lastColumn="0" w:noHBand="0" w:noVBand="1"/>
      </w:tblPr>
      <w:tblGrid>
        <w:gridCol w:w="1530"/>
        <w:gridCol w:w="1132"/>
        <w:gridCol w:w="767"/>
        <w:gridCol w:w="1398"/>
        <w:gridCol w:w="1270"/>
        <w:gridCol w:w="1094"/>
        <w:gridCol w:w="1143"/>
        <w:gridCol w:w="1496"/>
        <w:gridCol w:w="1410"/>
        <w:gridCol w:w="879"/>
        <w:gridCol w:w="1272"/>
      </w:tblGrid>
      <w:tr w:rsidR="009642E0" w:rsidRPr="009642E0" w14:paraId="63914C23" w14:textId="77777777" w:rsidTr="1CF5E637">
        <w:trPr>
          <w:trHeight w:val="900"/>
        </w:trPr>
        <w:tc>
          <w:tcPr>
            <w:tcW w:w="1530" w:type="dxa"/>
          </w:tcPr>
          <w:p w14:paraId="336DB0CD"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Study</w:t>
            </w:r>
          </w:p>
        </w:tc>
        <w:tc>
          <w:tcPr>
            <w:tcW w:w="1132" w:type="dxa"/>
          </w:tcPr>
          <w:p w14:paraId="12247D38"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Level of Evidence</w:t>
            </w:r>
          </w:p>
        </w:tc>
        <w:tc>
          <w:tcPr>
            <w:tcW w:w="767" w:type="dxa"/>
          </w:tcPr>
          <w:p w14:paraId="1CE49188"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Clear Aim</w:t>
            </w:r>
          </w:p>
        </w:tc>
        <w:tc>
          <w:tcPr>
            <w:tcW w:w="1398" w:type="dxa"/>
          </w:tcPr>
          <w:p w14:paraId="07AFCD20"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Appropriate Design</w:t>
            </w:r>
          </w:p>
        </w:tc>
        <w:tc>
          <w:tcPr>
            <w:tcW w:w="1270" w:type="dxa"/>
          </w:tcPr>
          <w:p w14:paraId="7E5CF95F"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Bias Considered</w:t>
            </w:r>
          </w:p>
        </w:tc>
        <w:tc>
          <w:tcPr>
            <w:tcW w:w="1094" w:type="dxa"/>
          </w:tcPr>
          <w:p w14:paraId="4FD7ACEB"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Data and Analysis</w:t>
            </w:r>
          </w:p>
        </w:tc>
        <w:tc>
          <w:tcPr>
            <w:tcW w:w="1143" w:type="dxa"/>
          </w:tcPr>
          <w:p w14:paraId="20119382"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Results Reported</w:t>
            </w:r>
          </w:p>
        </w:tc>
        <w:tc>
          <w:tcPr>
            <w:tcW w:w="1496" w:type="dxa"/>
          </w:tcPr>
          <w:p w14:paraId="5D54976D"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Consistency with Literature</w:t>
            </w:r>
          </w:p>
        </w:tc>
        <w:tc>
          <w:tcPr>
            <w:tcW w:w="1410" w:type="dxa"/>
          </w:tcPr>
          <w:p w14:paraId="11420917"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Applicability</w:t>
            </w:r>
          </w:p>
        </w:tc>
        <w:tc>
          <w:tcPr>
            <w:tcW w:w="879" w:type="dxa"/>
          </w:tcPr>
          <w:p w14:paraId="2D637EB0"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Overall Value</w:t>
            </w:r>
          </w:p>
        </w:tc>
        <w:tc>
          <w:tcPr>
            <w:tcW w:w="1272" w:type="dxa"/>
          </w:tcPr>
          <w:p w14:paraId="5CFFFCC7"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Score</w:t>
            </w:r>
          </w:p>
        </w:tc>
      </w:tr>
      <w:tr w:rsidR="009642E0" w:rsidRPr="009642E0" w14:paraId="2E39AFF3" w14:textId="77777777" w:rsidTr="1CF5E637">
        <w:trPr>
          <w:trHeight w:val="645"/>
        </w:trPr>
        <w:tc>
          <w:tcPr>
            <w:tcW w:w="1530" w:type="dxa"/>
          </w:tcPr>
          <w:p w14:paraId="5822BF7E"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Bernstein et al., 2025</w:t>
            </w:r>
          </w:p>
        </w:tc>
        <w:tc>
          <w:tcPr>
            <w:tcW w:w="1132" w:type="dxa"/>
          </w:tcPr>
          <w:p w14:paraId="48192A60"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Level IV</w:t>
            </w:r>
          </w:p>
        </w:tc>
        <w:tc>
          <w:tcPr>
            <w:tcW w:w="767" w:type="dxa"/>
          </w:tcPr>
          <w:p w14:paraId="087B8A68"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398" w:type="dxa"/>
          </w:tcPr>
          <w:p w14:paraId="06796FFB"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0" w:type="dxa"/>
          </w:tcPr>
          <w:p w14:paraId="7BC9AC7F"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094" w:type="dxa"/>
          </w:tcPr>
          <w:p w14:paraId="02EB8CCF"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143" w:type="dxa"/>
          </w:tcPr>
          <w:p w14:paraId="2185A0AA"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96" w:type="dxa"/>
          </w:tcPr>
          <w:p w14:paraId="1E716DD5"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10" w:type="dxa"/>
          </w:tcPr>
          <w:p w14:paraId="008F4738"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879" w:type="dxa"/>
          </w:tcPr>
          <w:p w14:paraId="13ABE3B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2" w:type="dxa"/>
          </w:tcPr>
          <w:p w14:paraId="444BE26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15/18 (High quality)</w:t>
            </w:r>
          </w:p>
        </w:tc>
      </w:tr>
      <w:tr w:rsidR="009642E0" w:rsidRPr="009642E0" w14:paraId="365B30B8" w14:textId="77777777" w:rsidTr="1CF5E637">
        <w:trPr>
          <w:trHeight w:val="510"/>
        </w:trPr>
        <w:tc>
          <w:tcPr>
            <w:tcW w:w="1530" w:type="dxa"/>
          </w:tcPr>
          <w:p w14:paraId="761FB851"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Cata et al., 2024</w:t>
            </w:r>
          </w:p>
        </w:tc>
        <w:tc>
          <w:tcPr>
            <w:tcW w:w="1132" w:type="dxa"/>
          </w:tcPr>
          <w:p w14:paraId="39EF00B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Level IV</w:t>
            </w:r>
          </w:p>
        </w:tc>
        <w:tc>
          <w:tcPr>
            <w:tcW w:w="767" w:type="dxa"/>
          </w:tcPr>
          <w:p w14:paraId="20FB9871"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398" w:type="dxa"/>
          </w:tcPr>
          <w:p w14:paraId="6F13FBB8"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0" w:type="dxa"/>
          </w:tcPr>
          <w:p w14:paraId="6CACA56C"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094" w:type="dxa"/>
          </w:tcPr>
          <w:p w14:paraId="36530982"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143" w:type="dxa"/>
          </w:tcPr>
          <w:p w14:paraId="2AA0A202"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96" w:type="dxa"/>
          </w:tcPr>
          <w:p w14:paraId="6F740223"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10" w:type="dxa"/>
          </w:tcPr>
          <w:p w14:paraId="5082E9A2"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879" w:type="dxa"/>
          </w:tcPr>
          <w:p w14:paraId="4949BB80"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2" w:type="dxa"/>
          </w:tcPr>
          <w:p w14:paraId="2CAAFA90"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15/18 (High quality)</w:t>
            </w:r>
          </w:p>
        </w:tc>
      </w:tr>
      <w:tr w:rsidR="009642E0" w:rsidRPr="009642E0" w14:paraId="675F8670" w14:textId="77777777" w:rsidTr="1CF5E637">
        <w:trPr>
          <w:trHeight w:val="495"/>
        </w:trPr>
        <w:tc>
          <w:tcPr>
            <w:tcW w:w="1530" w:type="dxa"/>
          </w:tcPr>
          <w:p w14:paraId="6368C47B"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D’Souza et al., 2023</w:t>
            </w:r>
          </w:p>
        </w:tc>
        <w:tc>
          <w:tcPr>
            <w:tcW w:w="1132" w:type="dxa"/>
          </w:tcPr>
          <w:p w14:paraId="45468105"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Level V</w:t>
            </w:r>
          </w:p>
        </w:tc>
        <w:tc>
          <w:tcPr>
            <w:tcW w:w="767" w:type="dxa"/>
          </w:tcPr>
          <w:p w14:paraId="3CD06A98"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398" w:type="dxa"/>
          </w:tcPr>
          <w:p w14:paraId="22961187"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0" w:type="dxa"/>
          </w:tcPr>
          <w:p w14:paraId="722B2661"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094" w:type="dxa"/>
          </w:tcPr>
          <w:p w14:paraId="7C6C5C3C"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143" w:type="dxa"/>
          </w:tcPr>
          <w:p w14:paraId="641B5385"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96" w:type="dxa"/>
          </w:tcPr>
          <w:p w14:paraId="075FFA8C"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10" w:type="dxa"/>
          </w:tcPr>
          <w:p w14:paraId="081B8F8D"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879" w:type="dxa"/>
          </w:tcPr>
          <w:p w14:paraId="245EBAAA"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2" w:type="dxa"/>
          </w:tcPr>
          <w:p w14:paraId="612BC633"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15/18 (High quality)</w:t>
            </w:r>
          </w:p>
        </w:tc>
      </w:tr>
      <w:tr w:rsidR="009642E0" w:rsidRPr="009642E0" w14:paraId="43F07D2B" w14:textId="77777777" w:rsidTr="1CF5E637">
        <w:trPr>
          <w:trHeight w:val="615"/>
        </w:trPr>
        <w:tc>
          <w:tcPr>
            <w:tcW w:w="1530" w:type="dxa"/>
          </w:tcPr>
          <w:p w14:paraId="56B576D0"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Mercadante, 2023</w:t>
            </w:r>
          </w:p>
        </w:tc>
        <w:tc>
          <w:tcPr>
            <w:tcW w:w="1132" w:type="dxa"/>
          </w:tcPr>
          <w:p w14:paraId="0A9BFAA2"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Level V</w:t>
            </w:r>
          </w:p>
        </w:tc>
        <w:tc>
          <w:tcPr>
            <w:tcW w:w="767" w:type="dxa"/>
          </w:tcPr>
          <w:p w14:paraId="1CEAD000"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398" w:type="dxa"/>
          </w:tcPr>
          <w:p w14:paraId="773A5DD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0" w:type="dxa"/>
          </w:tcPr>
          <w:p w14:paraId="152F437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094" w:type="dxa"/>
          </w:tcPr>
          <w:p w14:paraId="513C3353"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143" w:type="dxa"/>
          </w:tcPr>
          <w:p w14:paraId="0D89E41A"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96" w:type="dxa"/>
          </w:tcPr>
          <w:p w14:paraId="7E0070F7"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10" w:type="dxa"/>
          </w:tcPr>
          <w:p w14:paraId="71FAA46B"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879" w:type="dxa"/>
          </w:tcPr>
          <w:p w14:paraId="3782A444"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2" w:type="dxa"/>
          </w:tcPr>
          <w:p w14:paraId="29E4A73C"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15/18 (High quality)</w:t>
            </w:r>
          </w:p>
        </w:tc>
      </w:tr>
      <w:tr w:rsidR="009642E0" w:rsidRPr="009642E0" w14:paraId="103A042A" w14:textId="77777777" w:rsidTr="1CF5E637">
        <w:trPr>
          <w:trHeight w:val="780"/>
        </w:trPr>
        <w:tc>
          <w:tcPr>
            <w:tcW w:w="1530" w:type="dxa"/>
          </w:tcPr>
          <w:p w14:paraId="7BFEA253" w14:textId="77777777" w:rsidR="009642E0" w:rsidRPr="009642E0" w:rsidRDefault="009642E0" w:rsidP="009642E0">
            <w:pPr>
              <w:spacing w:after="160" w:line="278" w:lineRule="auto"/>
              <w:rPr>
                <w:rFonts w:ascii="Times New Roman" w:hAnsi="Times New Roman"/>
                <w:b/>
                <w:bCs/>
                <w:sz w:val="20"/>
                <w:szCs w:val="20"/>
              </w:rPr>
            </w:pPr>
            <w:r w:rsidRPr="009642E0">
              <w:rPr>
                <w:rFonts w:ascii="Times New Roman" w:hAnsi="Times New Roman"/>
                <w:b/>
                <w:bCs/>
                <w:sz w:val="20"/>
                <w:szCs w:val="20"/>
              </w:rPr>
              <w:t>Myles and Brummett, 2023</w:t>
            </w:r>
          </w:p>
        </w:tc>
        <w:tc>
          <w:tcPr>
            <w:tcW w:w="1132" w:type="dxa"/>
          </w:tcPr>
          <w:p w14:paraId="72A643D5"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Level V</w:t>
            </w:r>
          </w:p>
        </w:tc>
        <w:tc>
          <w:tcPr>
            <w:tcW w:w="767" w:type="dxa"/>
          </w:tcPr>
          <w:p w14:paraId="6F8541FB"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398" w:type="dxa"/>
          </w:tcPr>
          <w:p w14:paraId="664120E9"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0" w:type="dxa"/>
          </w:tcPr>
          <w:p w14:paraId="6B9865AE"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094" w:type="dxa"/>
          </w:tcPr>
          <w:p w14:paraId="5081B8A6"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Unclear</w:t>
            </w:r>
          </w:p>
        </w:tc>
        <w:tc>
          <w:tcPr>
            <w:tcW w:w="1143" w:type="dxa"/>
          </w:tcPr>
          <w:p w14:paraId="1B959CA3"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96" w:type="dxa"/>
          </w:tcPr>
          <w:p w14:paraId="55A6D502"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410" w:type="dxa"/>
          </w:tcPr>
          <w:p w14:paraId="7C46859D"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879" w:type="dxa"/>
          </w:tcPr>
          <w:p w14:paraId="3880DAB6" w14:textId="77777777" w:rsidR="009642E0" w:rsidRPr="009642E0" w:rsidRDefault="009642E0" w:rsidP="009642E0">
            <w:pPr>
              <w:spacing w:after="160" w:line="278" w:lineRule="auto"/>
              <w:rPr>
                <w:rFonts w:ascii="Times New Roman" w:hAnsi="Times New Roman"/>
                <w:sz w:val="20"/>
                <w:szCs w:val="20"/>
              </w:rPr>
            </w:pPr>
            <w:r w:rsidRPr="009642E0">
              <w:rPr>
                <w:rFonts w:ascii="Times New Roman" w:hAnsi="Times New Roman"/>
                <w:sz w:val="20"/>
                <w:szCs w:val="20"/>
              </w:rPr>
              <w:t>Yes</w:t>
            </w:r>
          </w:p>
        </w:tc>
        <w:tc>
          <w:tcPr>
            <w:tcW w:w="1272" w:type="dxa"/>
          </w:tcPr>
          <w:p w14:paraId="42534990" w14:textId="77777777" w:rsidR="009642E0" w:rsidRPr="009642E0" w:rsidRDefault="009642E0" w:rsidP="009642E0">
            <w:pPr>
              <w:keepNext/>
              <w:spacing w:after="160" w:line="278" w:lineRule="auto"/>
              <w:rPr>
                <w:rFonts w:ascii="Times New Roman" w:hAnsi="Times New Roman"/>
                <w:sz w:val="20"/>
                <w:szCs w:val="20"/>
              </w:rPr>
            </w:pPr>
            <w:r w:rsidRPr="009642E0">
              <w:rPr>
                <w:rFonts w:ascii="Times New Roman" w:hAnsi="Times New Roman"/>
                <w:sz w:val="20"/>
                <w:szCs w:val="20"/>
              </w:rPr>
              <w:t>13/18 (Moderate quality)</w:t>
            </w:r>
          </w:p>
        </w:tc>
      </w:tr>
    </w:tbl>
    <w:p w14:paraId="516126AD" w14:textId="278E6A3E" w:rsidR="009642E0" w:rsidRPr="005C6631" w:rsidRDefault="2466A874" w:rsidP="38688B0C">
      <w:pPr>
        <w:spacing w:after="200" w:line="480" w:lineRule="auto"/>
        <w:rPr>
          <w:rFonts w:ascii="Times New Roman" w:eastAsia="Calibri" w:hAnsi="Times New Roman" w:cs="Times New Roman"/>
          <w:kern w:val="2"/>
          <w:sz w:val="24"/>
          <w:szCs w:val="24"/>
          <w:lang w:val="en-US"/>
          <w14:ligatures w14:val="standardContextual"/>
        </w:rPr>
        <w:sectPr w:rsidR="009642E0" w:rsidRPr="005C6631" w:rsidSect="0079621E">
          <w:pgSz w:w="15840" w:h="12240" w:orient="landscape"/>
          <w:pgMar w:top="1440" w:right="1440" w:bottom="1440" w:left="1440" w:header="720" w:footer="720" w:gutter="0"/>
          <w:cols w:space="720"/>
          <w:titlePg/>
          <w:docGrid w:linePitch="299"/>
        </w:sectPr>
      </w:pPr>
      <w:r w:rsidRPr="38688B0C">
        <w:rPr>
          <w:rFonts w:ascii="Times New Roman" w:eastAsia="Calibri" w:hAnsi="Times New Roman" w:cs="Times New Roman"/>
          <w:i/>
          <w:iCs/>
          <w:kern w:val="2"/>
          <w:sz w:val="24"/>
          <w:szCs w:val="24"/>
          <w:lang w:val="en-US"/>
          <w14:ligatures w14:val="standardContextual"/>
        </w:rPr>
        <w:t xml:space="preserve">Note. </w:t>
      </w:r>
      <w:r w:rsidRPr="38688B0C">
        <w:rPr>
          <w:rFonts w:ascii="Times New Roman" w:eastAsia="Calibri" w:hAnsi="Times New Roman" w:cs="Times New Roman"/>
          <w:kern w:val="2"/>
          <w:sz w:val="24"/>
          <w:szCs w:val="24"/>
          <w:lang w:val="en-US"/>
          <w14:ligatures w14:val="standardContextual"/>
        </w:rPr>
        <w:t xml:space="preserve">This table presents the methodological appraisal of nonrandomized and lower-level evidence using a modified Critical Appraisal Skills </w:t>
      </w:r>
      <w:proofErr w:type="spellStart"/>
      <w:r w:rsidRPr="38688B0C">
        <w:rPr>
          <w:rFonts w:ascii="Times New Roman" w:eastAsia="Calibri" w:hAnsi="Times New Roman" w:cs="Times New Roman"/>
          <w:kern w:val="2"/>
          <w:sz w:val="24"/>
          <w:szCs w:val="24"/>
          <w:lang w:val="en-US"/>
          <w14:ligatures w14:val="standardContextual"/>
        </w:rPr>
        <w:t>Programme</w:t>
      </w:r>
      <w:proofErr w:type="spellEnd"/>
      <w:r w:rsidRPr="38688B0C">
        <w:rPr>
          <w:rFonts w:ascii="Times New Roman" w:eastAsia="Calibri" w:hAnsi="Times New Roman" w:cs="Times New Roman"/>
          <w:kern w:val="2"/>
          <w:sz w:val="24"/>
          <w:szCs w:val="24"/>
          <w:lang w:val="en-US"/>
          <w14:ligatures w14:val="standardContextual"/>
        </w:rPr>
        <w:t xml:space="preserve"> (CASP) framework. Modifications were made to adapt the CASP criteria for evaluation of Level III–V evidence. Items were scored as Yes = 2, Unclear = 1, or No = 0, with higher scores indicating stronger methodological quality. “Unclear” reflects </w:t>
      </w:r>
      <w:r w:rsidRPr="38688B0C">
        <w:rPr>
          <w:rFonts w:ascii="Times New Roman" w:eastAsia="Calibri" w:hAnsi="Times New Roman" w:cs="Times New Roman"/>
          <w:kern w:val="2"/>
          <w:sz w:val="24"/>
          <w:szCs w:val="24"/>
          <w:lang w:val="en-US"/>
          <w14:ligatures w14:val="standardContextual"/>
        </w:rPr>
        <w:lastRenderedPageBreak/>
        <w:t xml:space="preserve">insufficient reporting. Studies are presented in descending order of methodological quality, with alphabetical ordering applied when scores are equivalent. Abbreviation: CASP = Critical Appraisal Skills </w:t>
      </w:r>
      <w:proofErr w:type="spellStart"/>
      <w:r w:rsidRPr="38688B0C">
        <w:rPr>
          <w:rFonts w:ascii="Times New Roman" w:eastAsia="Calibri" w:hAnsi="Times New Roman" w:cs="Times New Roman"/>
          <w:kern w:val="2"/>
          <w:sz w:val="24"/>
          <w:szCs w:val="24"/>
          <w:lang w:val="en-US"/>
          <w14:ligatures w14:val="standardContextual"/>
        </w:rPr>
        <w:t>Programme</w:t>
      </w:r>
      <w:proofErr w:type="spellEnd"/>
      <w:r w:rsidR="1023750F" w:rsidRPr="38688B0C">
        <w:rPr>
          <w:rFonts w:ascii="Times New Roman" w:eastAsia="Calibri" w:hAnsi="Times New Roman" w:cs="Times New Roman"/>
          <w:kern w:val="2"/>
          <w:sz w:val="24"/>
          <w:szCs w:val="24"/>
          <w:lang w:val="en-US"/>
          <w14:ligatures w14:val="standardContextual"/>
        </w:rPr>
        <w:t>.</w:t>
      </w:r>
    </w:p>
    <w:p w14:paraId="3895EA91" w14:textId="3AD0847F" w:rsidR="23B78A03" w:rsidRDefault="5DBEA8D6" w:rsidP="38688B0C">
      <w:pPr>
        <w:spacing w:line="480" w:lineRule="auto"/>
        <w:contextualSpacing/>
        <w:jc w:val="center"/>
      </w:pPr>
      <w:r w:rsidRPr="38688B0C">
        <w:rPr>
          <w:rFonts w:ascii="Times New Roman" w:eastAsia="Times New Roman" w:hAnsi="Times New Roman" w:cs="Times New Roman"/>
          <w:b/>
          <w:bCs/>
          <w:sz w:val="24"/>
          <w:szCs w:val="24"/>
          <w:lang w:val="en-US"/>
        </w:rPr>
        <w:lastRenderedPageBreak/>
        <w:t>Data Analysis</w:t>
      </w:r>
    </w:p>
    <w:p w14:paraId="0C061126" w14:textId="1169816D" w:rsidR="23B78A03" w:rsidRDefault="59F7DE96"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Data from the selected studies </w:t>
      </w:r>
      <w:r w:rsidR="268280AB" w:rsidRPr="0320F0AF">
        <w:rPr>
          <w:rFonts w:ascii="Times New Roman" w:eastAsia="Times New Roman" w:hAnsi="Times New Roman" w:cs="Times New Roman"/>
          <w:sz w:val="24"/>
          <w:szCs w:val="24"/>
          <w:lang w:val="en-US"/>
        </w:rPr>
        <w:t>were</w:t>
      </w:r>
      <w:r w:rsidRPr="0320F0AF">
        <w:rPr>
          <w:rFonts w:ascii="Times New Roman" w:eastAsia="Times New Roman" w:hAnsi="Times New Roman" w:cs="Times New Roman"/>
          <w:sz w:val="24"/>
          <w:szCs w:val="24"/>
          <w:lang w:val="en-US"/>
        </w:rPr>
        <w:t xml:space="preserve"> synthesized using an integrative analysis approach consistent with Whittemore and Knafl’s framework (2005), in which the data were categorized and then compared across studies, allowing for </w:t>
      </w:r>
      <w:r w:rsidR="268280AB" w:rsidRPr="0320F0AF">
        <w:rPr>
          <w:rFonts w:ascii="Times New Roman" w:eastAsia="Times New Roman" w:hAnsi="Times New Roman" w:cs="Times New Roman"/>
          <w:sz w:val="24"/>
          <w:szCs w:val="24"/>
          <w:lang w:val="en-US"/>
        </w:rPr>
        <w:t xml:space="preserve">the development of </w:t>
      </w:r>
      <w:r w:rsidRPr="0320F0AF">
        <w:rPr>
          <w:rFonts w:ascii="Times New Roman" w:eastAsia="Times New Roman" w:hAnsi="Times New Roman" w:cs="Times New Roman"/>
          <w:sz w:val="24"/>
          <w:szCs w:val="24"/>
          <w:lang w:val="en-US"/>
        </w:rPr>
        <w:t xml:space="preserve">integrated conclusions. Each study was classified </w:t>
      </w:r>
      <w:r w:rsidR="40C9E9F7" w:rsidRPr="0320F0AF">
        <w:rPr>
          <w:rFonts w:ascii="Times New Roman" w:eastAsia="Times New Roman" w:hAnsi="Times New Roman" w:cs="Times New Roman"/>
          <w:sz w:val="24"/>
          <w:szCs w:val="24"/>
          <w:lang w:val="en-US"/>
        </w:rPr>
        <w:t>by</w:t>
      </w:r>
      <w:r w:rsidRPr="0320F0AF">
        <w:rPr>
          <w:rFonts w:ascii="Times New Roman" w:eastAsia="Times New Roman" w:hAnsi="Times New Roman" w:cs="Times New Roman"/>
          <w:sz w:val="24"/>
          <w:szCs w:val="24"/>
          <w:lang w:val="en-US"/>
        </w:rPr>
        <w:t xml:space="preserve"> the level of evidence, sample size, study variables, and measured outcomes. Findings were then compared across studies to identify patterns and themes related to postoperative pain control, opioid consumption, and safety outcomes. </w:t>
      </w:r>
      <w:r w:rsidR="2B00B287" w:rsidRPr="0320F0AF">
        <w:rPr>
          <w:rFonts w:ascii="Times New Roman" w:eastAsia="Times New Roman" w:hAnsi="Times New Roman" w:cs="Times New Roman"/>
          <w:sz w:val="24"/>
          <w:szCs w:val="24"/>
          <w:lang w:val="en-US"/>
        </w:rPr>
        <w:t xml:space="preserve">Additional themes </w:t>
      </w:r>
      <w:r w:rsidR="71321CB6" w:rsidRPr="0320F0AF">
        <w:rPr>
          <w:rFonts w:ascii="Times New Roman" w:eastAsia="Times New Roman" w:hAnsi="Times New Roman" w:cs="Times New Roman"/>
          <w:sz w:val="24"/>
          <w:szCs w:val="24"/>
          <w:lang w:val="en-US"/>
        </w:rPr>
        <w:t>underlying</w:t>
      </w:r>
      <w:r w:rsidR="2B00B287" w:rsidRPr="0320F0AF">
        <w:rPr>
          <w:rFonts w:ascii="Times New Roman" w:eastAsia="Times New Roman" w:hAnsi="Times New Roman" w:cs="Times New Roman"/>
          <w:sz w:val="24"/>
          <w:szCs w:val="24"/>
          <w:lang w:val="en-US"/>
        </w:rPr>
        <w:t xml:space="preserve"> </w:t>
      </w:r>
      <w:r w:rsidR="71321CB6" w:rsidRPr="0320F0AF">
        <w:rPr>
          <w:rFonts w:ascii="Times New Roman" w:eastAsia="Times New Roman" w:hAnsi="Times New Roman" w:cs="Times New Roman"/>
          <w:sz w:val="24"/>
          <w:szCs w:val="24"/>
          <w:lang w:val="en-US"/>
        </w:rPr>
        <w:t xml:space="preserve">clinical outcomes and effects </w:t>
      </w:r>
      <w:r w:rsidR="2B00B287" w:rsidRPr="0320F0AF">
        <w:rPr>
          <w:rFonts w:ascii="Times New Roman" w:eastAsia="Times New Roman" w:hAnsi="Times New Roman" w:cs="Times New Roman"/>
          <w:sz w:val="24"/>
          <w:szCs w:val="24"/>
          <w:lang w:val="en-US"/>
        </w:rPr>
        <w:t>include</w:t>
      </w:r>
      <w:r w:rsidR="4B3CF070" w:rsidRPr="0320F0AF">
        <w:rPr>
          <w:rFonts w:ascii="Times New Roman" w:eastAsia="Times New Roman" w:hAnsi="Times New Roman" w:cs="Times New Roman"/>
          <w:sz w:val="24"/>
          <w:szCs w:val="24"/>
          <w:lang w:val="en-US"/>
        </w:rPr>
        <w:t xml:space="preserve"> determinants of variability and pharmacologic mechanisms</w:t>
      </w:r>
      <w:r w:rsidR="2895757E" w:rsidRPr="0320F0AF">
        <w:rPr>
          <w:rFonts w:ascii="Times New Roman" w:eastAsia="Times New Roman" w:hAnsi="Times New Roman" w:cs="Times New Roman"/>
          <w:sz w:val="24"/>
          <w:szCs w:val="24"/>
          <w:lang w:val="en-US"/>
        </w:rPr>
        <w:t xml:space="preserve">. </w:t>
      </w:r>
      <w:r w:rsidR="1EDB4073" w:rsidRPr="0320F0AF">
        <w:rPr>
          <w:rFonts w:ascii="Times New Roman" w:eastAsia="Times New Roman" w:hAnsi="Times New Roman" w:cs="Times New Roman"/>
          <w:sz w:val="24"/>
          <w:szCs w:val="24"/>
          <w:lang w:val="en-US"/>
        </w:rPr>
        <w:t xml:space="preserve">These patterns are further illustrated in the comparative findings summarized in Table 4. </w:t>
      </w:r>
      <w:r w:rsidRPr="0320F0AF">
        <w:rPr>
          <w:rFonts w:ascii="Times New Roman" w:eastAsia="Times New Roman" w:hAnsi="Times New Roman" w:cs="Times New Roman"/>
          <w:sz w:val="24"/>
          <w:szCs w:val="24"/>
          <w:lang w:val="en-US"/>
        </w:rPr>
        <w:t>The synthesis of these findings inform</w:t>
      </w:r>
      <w:r w:rsidR="0738BB68" w:rsidRPr="0320F0AF">
        <w:rPr>
          <w:rFonts w:ascii="Times New Roman" w:eastAsia="Times New Roman" w:hAnsi="Times New Roman" w:cs="Times New Roman"/>
          <w:sz w:val="24"/>
          <w:szCs w:val="24"/>
          <w:lang w:val="en-US"/>
        </w:rPr>
        <w:t>ed</w:t>
      </w:r>
      <w:r w:rsidRPr="0320F0AF">
        <w:rPr>
          <w:rFonts w:ascii="Times New Roman" w:eastAsia="Times New Roman" w:hAnsi="Times New Roman" w:cs="Times New Roman"/>
          <w:sz w:val="24"/>
          <w:szCs w:val="24"/>
          <w:lang w:val="en-US"/>
        </w:rPr>
        <w:t xml:space="preserve"> the development of practice recommendations and the identification of gaps in the current literature.</w:t>
      </w:r>
    </w:p>
    <w:p w14:paraId="30522106" w14:textId="1788D36C" w:rsidR="23B78A03" w:rsidRDefault="5DBEA8D6" w:rsidP="38688B0C">
      <w:pPr>
        <w:spacing w:line="480" w:lineRule="auto"/>
        <w:contextualSpacing/>
        <w:rPr>
          <w:rFonts w:ascii="Times New Roman" w:eastAsia="Times New Roman" w:hAnsi="Times New Roman" w:cs="Times New Roman"/>
          <w:b/>
          <w:bCs/>
          <w:sz w:val="24"/>
          <w:szCs w:val="24"/>
          <w:lang w:val="en-US"/>
        </w:rPr>
      </w:pPr>
      <w:r w:rsidRPr="38688B0C">
        <w:rPr>
          <w:rFonts w:ascii="Times New Roman" w:eastAsia="Times New Roman" w:hAnsi="Times New Roman" w:cs="Times New Roman"/>
          <w:b/>
          <w:bCs/>
          <w:sz w:val="24"/>
          <w:szCs w:val="24"/>
          <w:lang w:val="en-US"/>
        </w:rPr>
        <w:t>Postoperative Pain</w:t>
      </w:r>
    </w:p>
    <w:p w14:paraId="5D9BEA53" w14:textId="06FEE02C" w:rsidR="23B78A03" w:rsidRDefault="59F7DE96" w:rsidP="343CB678">
      <w:pPr>
        <w:spacing w:line="480" w:lineRule="auto"/>
        <w:ind w:firstLine="720"/>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Reduction in postoperative pain intensity was one of the most consistent findings across the included literature, but the magnitude and duration of benefit varied by surgical population, methadone dose, and study design. In their meta-analysis of seven randomized controlled trials including 337 patients across multiple procedures, Kendall et al. (2020) found that intraoperative methadone reduced pain scores in the postanesthesia care unit (PACU) and again at 24 hours </w:t>
      </w:r>
      <w:r w:rsidR="7F59BD64" w:rsidRPr="0320F0AF">
        <w:rPr>
          <w:rFonts w:ascii="Times New Roman" w:eastAsia="Times New Roman" w:hAnsi="Times New Roman" w:cs="Times New Roman"/>
          <w:sz w:val="24"/>
          <w:szCs w:val="24"/>
          <w:lang w:val="en-US"/>
        </w:rPr>
        <w:t xml:space="preserve">postoperatively </w:t>
      </w:r>
      <w:r w:rsidRPr="0320F0AF">
        <w:rPr>
          <w:rFonts w:ascii="Times New Roman" w:eastAsia="Times New Roman" w:hAnsi="Times New Roman" w:cs="Times New Roman"/>
          <w:sz w:val="24"/>
          <w:szCs w:val="24"/>
          <w:lang w:val="en-US"/>
        </w:rPr>
        <w:t>when compared with morphine, even though postoperative opioid consumption was not significantly different in that specific synthesis. Xie et al. (2025) reported consistent reductions in early postoperative pain scores across both inpatient and ambulatory surgical populations. Observational studies continued to show lower pain scores with methadone across inpatient and ambulatory procedures, particularly during the immediate recovery period</w:t>
      </w:r>
      <w:r w:rsidRPr="0320F0AF">
        <w:rPr>
          <w:rFonts w:ascii="Times New Roman" w:eastAsia="Times New Roman" w:hAnsi="Times New Roman" w:cs="Times New Roman"/>
          <w:i/>
          <w:iCs/>
          <w:sz w:val="24"/>
          <w:szCs w:val="24"/>
          <w:lang w:val="en-US"/>
        </w:rPr>
        <w:t xml:space="preserve"> </w:t>
      </w:r>
      <w:r w:rsidRPr="0320F0AF">
        <w:rPr>
          <w:rFonts w:ascii="Times New Roman" w:eastAsia="Times New Roman" w:hAnsi="Times New Roman" w:cs="Times New Roman"/>
          <w:sz w:val="24"/>
          <w:szCs w:val="24"/>
          <w:lang w:val="en-US"/>
        </w:rPr>
        <w:t>and first postoperative day</w:t>
      </w:r>
      <w:r w:rsidR="48D6C896" w:rsidRPr="0320F0AF">
        <w:rPr>
          <w:rFonts w:ascii="Times New Roman" w:eastAsia="Times New Roman" w:hAnsi="Times New Roman" w:cs="Times New Roman"/>
          <w:sz w:val="24"/>
          <w:szCs w:val="24"/>
          <w:lang w:val="en-US"/>
        </w:rPr>
        <w:t xml:space="preserve"> (</w:t>
      </w:r>
      <w:r w:rsidR="30A8E1BA" w:rsidRPr="0320F0AF">
        <w:rPr>
          <w:rFonts w:ascii="Times New Roman" w:eastAsia="Times New Roman" w:hAnsi="Times New Roman" w:cs="Times New Roman"/>
          <w:sz w:val="24"/>
          <w:szCs w:val="24"/>
          <w:lang w:val="en-US"/>
        </w:rPr>
        <w:t xml:space="preserve">Laguado et al., 2025; </w:t>
      </w:r>
      <w:r w:rsidR="28C1C4EA" w:rsidRPr="0320F0AF">
        <w:rPr>
          <w:rFonts w:ascii="Times New Roman" w:eastAsia="Times New Roman" w:hAnsi="Times New Roman" w:cs="Times New Roman"/>
          <w:sz w:val="24"/>
          <w:szCs w:val="24"/>
          <w:lang w:val="en-US"/>
        </w:rPr>
        <w:t>Ber</w:t>
      </w:r>
      <w:r w:rsidR="22444ACE" w:rsidRPr="0320F0AF">
        <w:rPr>
          <w:rFonts w:ascii="Times New Roman" w:eastAsia="Times New Roman" w:hAnsi="Times New Roman" w:cs="Times New Roman"/>
          <w:sz w:val="24"/>
          <w:szCs w:val="24"/>
          <w:lang w:val="en-US"/>
        </w:rPr>
        <w:t>n</w:t>
      </w:r>
      <w:r w:rsidR="28C1C4EA" w:rsidRPr="0320F0AF">
        <w:rPr>
          <w:rFonts w:ascii="Times New Roman" w:eastAsia="Times New Roman" w:hAnsi="Times New Roman" w:cs="Times New Roman"/>
          <w:sz w:val="24"/>
          <w:szCs w:val="24"/>
          <w:lang w:val="en-US"/>
        </w:rPr>
        <w:t xml:space="preserve">stein </w:t>
      </w:r>
      <w:r w:rsidR="48D6C896" w:rsidRPr="0320F0AF">
        <w:rPr>
          <w:rFonts w:ascii="Times New Roman" w:eastAsia="Times New Roman" w:hAnsi="Times New Roman" w:cs="Times New Roman"/>
          <w:sz w:val="24"/>
          <w:szCs w:val="24"/>
          <w:lang w:val="en-US"/>
        </w:rPr>
        <w:t xml:space="preserve">et al., </w:t>
      </w:r>
      <w:r w:rsidR="20DCE422" w:rsidRPr="0320F0AF">
        <w:rPr>
          <w:rFonts w:ascii="Times New Roman" w:eastAsia="Times New Roman" w:hAnsi="Times New Roman" w:cs="Times New Roman"/>
          <w:sz w:val="24"/>
          <w:szCs w:val="24"/>
          <w:lang w:val="en-US"/>
        </w:rPr>
        <w:t>2025</w:t>
      </w:r>
      <w:r w:rsidR="48D6C896" w:rsidRPr="0320F0AF">
        <w:rPr>
          <w:rFonts w:ascii="Times New Roman" w:eastAsia="Times New Roman" w:hAnsi="Times New Roman" w:cs="Times New Roman"/>
          <w:sz w:val="24"/>
          <w:szCs w:val="24"/>
          <w:lang w:val="en-US"/>
        </w:rPr>
        <w:t>)</w:t>
      </w:r>
      <w:r w:rsidRPr="0320F0AF">
        <w:rPr>
          <w:rFonts w:ascii="Times New Roman" w:eastAsia="Times New Roman" w:hAnsi="Times New Roman" w:cs="Times New Roman"/>
          <w:sz w:val="24"/>
          <w:szCs w:val="24"/>
          <w:lang w:val="en-US"/>
        </w:rPr>
        <w:t>.</w:t>
      </w:r>
      <w:r w:rsidR="1658CA1C" w:rsidRPr="0320F0AF">
        <w:rPr>
          <w:rFonts w:ascii="Times New Roman" w:eastAsia="Times New Roman" w:hAnsi="Times New Roman" w:cs="Times New Roman"/>
          <w:sz w:val="24"/>
          <w:szCs w:val="24"/>
          <w:lang w:val="en-US"/>
        </w:rPr>
        <w:t xml:space="preserve"> The literature supports a </w:t>
      </w:r>
      <w:r w:rsidR="1658CA1C" w:rsidRPr="0320F0AF">
        <w:rPr>
          <w:rFonts w:ascii="Times New Roman" w:eastAsia="Times New Roman" w:hAnsi="Times New Roman" w:cs="Times New Roman"/>
          <w:sz w:val="24"/>
          <w:szCs w:val="24"/>
          <w:lang w:val="en-US"/>
        </w:rPr>
        <w:lastRenderedPageBreak/>
        <w:t>consistent analgesic effect, while also demonstrating that the magnitude and timing of this benefit varied by surgical context and study-specific factors. Notably, variability extended across outcomes, as some randomized trials demonstrated similar early pain scores despite methadone administration, with delayed improvements observed at later postoperative time points (Cheriyan et al., 2021; Uhrbrand et al., 2025).</w:t>
      </w:r>
    </w:p>
    <w:p w14:paraId="517A0940" w14:textId="7AED39A2" w:rsidR="23B78A03" w:rsidRDefault="5DBEA8D6" w:rsidP="1193C325">
      <w:pPr>
        <w:spacing w:line="480" w:lineRule="auto"/>
        <w:ind w:firstLine="720"/>
        <w:contextualSpacing/>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 xml:space="preserve">The greatest reductions in postoperative pain were observed in higher-intensity surgical populations. In a randomized, double-blind trial of 130 patients undergoing spinal fusion surgery, Murphy et al. (2021) found that patients </w:t>
      </w:r>
      <w:r w:rsidR="3D258BA3" w:rsidRPr="1193C325">
        <w:rPr>
          <w:rFonts w:ascii="Times New Roman" w:eastAsia="Times New Roman" w:hAnsi="Times New Roman" w:cs="Times New Roman"/>
          <w:sz w:val="24"/>
          <w:szCs w:val="24"/>
          <w:lang w:val="en-US"/>
        </w:rPr>
        <w:t xml:space="preserve">who </w:t>
      </w:r>
      <w:r w:rsidRPr="1193C325">
        <w:rPr>
          <w:rFonts w:ascii="Times New Roman" w:eastAsia="Times New Roman" w:hAnsi="Times New Roman" w:cs="Times New Roman"/>
          <w:sz w:val="24"/>
          <w:szCs w:val="24"/>
          <w:lang w:val="en-US"/>
        </w:rPr>
        <w:t>receiv</w:t>
      </w:r>
      <w:r w:rsidR="2F3DD83B" w:rsidRPr="1193C325">
        <w:rPr>
          <w:rFonts w:ascii="Times New Roman" w:eastAsia="Times New Roman" w:hAnsi="Times New Roman" w:cs="Times New Roman"/>
          <w:sz w:val="24"/>
          <w:szCs w:val="24"/>
          <w:lang w:val="en-US"/>
        </w:rPr>
        <w:t>ed</w:t>
      </w:r>
      <w:r w:rsidRPr="1193C325">
        <w:rPr>
          <w:rFonts w:ascii="Times New Roman" w:eastAsia="Times New Roman" w:hAnsi="Times New Roman" w:cs="Times New Roman"/>
          <w:sz w:val="24"/>
          <w:szCs w:val="24"/>
          <w:lang w:val="en-US"/>
        </w:rPr>
        <w:t xml:space="preserve"> intraoperative methadone paired with ketamine reported lower pain scores at 23 of 24 postoperative assessment time points compared with methadone alone, indicating a sustained and clinically meaningful </w:t>
      </w:r>
      <w:r w:rsidR="2537D0B2" w:rsidRPr="1193C325">
        <w:rPr>
          <w:rFonts w:ascii="Times New Roman" w:eastAsia="Times New Roman" w:hAnsi="Times New Roman" w:cs="Times New Roman"/>
          <w:sz w:val="24"/>
          <w:szCs w:val="24"/>
          <w:lang w:val="en-US"/>
        </w:rPr>
        <w:t xml:space="preserve">synergistic </w:t>
      </w:r>
      <w:r w:rsidRPr="1193C325">
        <w:rPr>
          <w:rFonts w:ascii="Times New Roman" w:eastAsia="Times New Roman" w:hAnsi="Times New Roman" w:cs="Times New Roman"/>
          <w:sz w:val="24"/>
          <w:szCs w:val="24"/>
          <w:lang w:val="en-US"/>
        </w:rPr>
        <w:t>analgesic effect in a high-nociceptive population. Similarly, Pontes et al. (202</w:t>
      </w:r>
      <w:r w:rsidR="00D448BC">
        <w:rPr>
          <w:rFonts w:ascii="Times New Roman" w:eastAsia="Times New Roman" w:hAnsi="Times New Roman" w:cs="Times New Roman"/>
          <w:sz w:val="24"/>
          <w:szCs w:val="24"/>
          <w:lang w:val="en-US"/>
        </w:rPr>
        <w:t>1</w:t>
      </w:r>
      <w:r w:rsidRPr="1193C325">
        <w:rPr>
          <w:rFonts w:ascii="Times New Roman" w:eastAsia="Times New Roman" w:hAnsi="Times New Roman" w:cs="Times New Roman"/>
          <w:sz w:val="24"/>
          <w:szCs w:val="24"/>
          <w:lang w:val="en-US"/>
        </w:rPr>
        <w:t>) randomized 137 patients undergoing laparoscopic bariatric surgery to receive either methadone or morphine and found that the methadone group experienced lower pain burden in the PACU</w:t>
      </w:r>
      <w:r w:rsidR="444B0997"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and improved overall recovery scores. </w:t>
      </w:r>
      <w:r w:rsidR="002E5240">
        <w:rPr>
          <w:rFonts w:ascii="Times New Roman" w:eastAsia="Times New Roman" w:hAnsi="Times New Roman" w:cs="Times New Roman"/>
          <w:sz w:val="24"/>
          <w:szCs w:val="24"/>
          <w:lang w:val="en-US"/>
        </w:rPr>
        <w:t>The literature supports</w:t>
      </w:r>
      <w:r w:rsidRPr="1193C325">
        <w:rPr>
          <w:rFonts w:ascii="Times New Roman" w:eastAsia="Times New Roman" w:hAnsi="Times New Roman" w:cs="Times New Roman"/>
          <w:sz w:val="24"/>
          <w:szCs w:val="24"/>
          <w:lang w:val="en-US"/>
        </w:rPr>
        <w:t xml:space="preserve"> that methadone’s long duration of action is particularly advantageous in procedures with prolonged postoperative pain trajectories</w:t>
      </w:r>
      <w:r w:rsidR="4083C56E" w:rsidRPr="1193C325">
        <w:rPr>
          <w:rFonts w:ascii="Times New Roman" w:eastAsia="Times New Roman" w:hAnsi="Times New Roman" w:cs="Times New Roman"/>
          <w:sz w:val="24"/>
          <w:szCs w:val="24"/>
          <w:lang w:val="en-US"/>
        </w:rPr>
        <w:t>.</w:t>
      </w:r>
    </w:p>
    <w:p w14:paraId="48FC0B9C" w14:textId="68E29FB3" w:rsidR="23B78A03" w:rsidRDefault="5DBEA8D6" w:rsidP="1193C325">
      <w:pPr>
        <w:spacing w:line="480" w:lineRule="auto"/>
        <w:ind w:firstLine="720"/>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 xml:space="preserve">Consistent findings were also observed in other major surgical populations. In a systematic review of four studies involving 435 patients undergoing cardiac surgery, </w:t>
      </w:r>
      <w:proofErr w:type="spellStart"/>
      <w:r w:rsidRPr="1193C325">
        <w:rPr>
          <w:rFonts w:ascii="Times New Roman" w:eastAsia="Times New Roman" w:hAnsi="Times New Roman" w:cs="Times New Roman"/>
          <w:sz w:val="24"/>
          <w:szCs w:val="24"/>
          <w:lang w:val="en-US"/>
        </w:rPr>
        <w:t>Lobova</w:t>
      </w:r>
      <w:proofErr w:type="spellEnd"/>
      <w:r w:rsidRPr="1193C325">
        <w:rPr>
          <w:rFonts w:ascii="Times New Roman" w:eastAsia="Times New Roman" w:hAnsi="Times New Roman" w:cs="Times New Roman"/>
          <w:sz w:val="24"/>
          <w:szCs w:val="24"/>
          <w:lang w:val="en-US"/>
        </w:rPr>
        <w:t xml:space="preserve"> et al. (2021) reported reduced acute postoperative pain and opioid consumption within the first 24 hours when methadone (0.1–0.3 mg/kg) was used instead of short-acting opioids. </w:t>
      </w:r>
      <w:r w:rsidR="5F4DB153" w:rsidRPr="1193C325">
        <w:rPr>
          <w:rFonts w:ascii="Times New Roman" w:eastAsia="Times New Roman" w:hAnsi="Times New Roman" w:cs="Times New Roman"/>
          <w:sz w:val="24"/>
          <w:szCs w:val="24"/>
          <w:lang w:val="en-US"/>
        </w:rPr>
        <w:t>In a</w:t>
      </w:r>
      <w:r w:rsidR="46361AFC" w:rsidRPr="1193C325">
        <w:rPr>
          <w:rFonts w:ascii="Times New Roman" w:eastAsia="Times New Roman" w:hAnsi="Times New Roman" w:cs="Times New Roman"/>
          <w:sz w:val="24"/>
          <w:szCs w:val="24"/>
          <w:lang w:val="en-US"/>
        </w:rPr>
        <w:t xml:space="preserve"> </w:t>
      </w:r>
      <w:r w:rsidR="5F4DB153" w:rsidRPr="1193C325">
        <w:rPr>
          <w:rFonts w:ascii="Times New Roman" w:eastAsia="Times New Roman" w:hAnsi="Times New Roman" w:cs="Times New Roman"/>
          <w:sz w:val="24"/>
          <w:szCs w:val="24"/>
          <w:lang w:val="en-US"/>
        </w:rPr>
        <w:t xml:space="preserve">randomized controlled trial of women undergoing same day </w:t>
      </w:r>
      <w:r w:rsidR="495B1DAA" w:rsidRPr="1193C325">
        <w:rPr>
          <w:rFonts w:ascii="Times New Roman" w:eastAsia="Times New Roman" w:hAnsi="Times New Roman" w:cs="Times New Roman"/>
          <w:sz w:val="24"/>
          <w:szCs w:val="24"/>
          <w:lang w:val="en-US"/>
        </w:rPr>
        <w:t>laparoscopic</w:t>
      </w:r>
      <w:r w:rsidR="5F4DB153" w:rsidRPr="1193C325">
        <w:rPr>
          <w:rFonts w:ascii="Times New Roman" w:eastAsia="Times New Roman" w:hAnsi="Times New Roman" w:cs="Times New Roman"/>
          <w:sz w:val="24"/>
          <w:szCs w:val="24"/>
          <w:lang w:val="en-US"/>
        </w:rPr>
        <w:t xml:space="preserve"> gynecologic procedures, Green et al. (2024) </w:t>
      </w:r>
      <w:r w:rsidR="5E2E6E19" w:rsidRPr="1193C325">
        <w:rPr>
          <w:rFonts w:ascii="Times New Roman" w:eastAsia="Times New Roman" w:hAnsi="Times New Roman" w:cs="Times New Roman"/>
          <w:sz w:val="24"/>
          <w:szCs w:val="24"/>
          <w:lang w:val="en-US"/>
        </w:rPr>
        <w:t xml:space="preserve">found </w:t>
      </w:r>
      <w:r w:rsidR="4E5AB500" w:rsidRPr="1193C325">
        <w:rPr>
          <w:rFonts w:ascii="Times New Roman" w:eastAsia="Times New Roman" w:hAnsi="Times New Roman" w:cs="Times New Roman"/>
          <w:sz w:val="24"/>
          <w:szCs w:val="24"/>
          <w:lang w:val="en-US"/>
        </w:rPr>
        <w:t xml:space="preserve">that women who received methadone instead of short-acting opioids had </w:t>
      </w:r>
      <w:r w:rsidR="5E2E6E19" w:rsidRPr="1193C325">
        <w:rPr>
          <w:rFonts w:ascii="Times New Roman" w:eastAsia="Times New Roman" w:hAnsi="Times New Roman" w:cs="Times New Roman"/>
          <w:sz w:val="24"/>
          <w:szCs w:val="24"/>
          <w:lang w:val="en-US"/>
        </w:rPr>
        <w:t>lower PACU pain scores</w:t>
      </w:r>
      <w:r w:rsidR="4D159C88" w:rsidRPr="1193C325">
        <w:rPr>
          <w:rFonts w:ascii="Times New Roman" w:eastAsia="Times New Roman" w:hAnsi="Times New Roman" w:cs="Times New Roman"/>
          <w:sz w:val="24"/>
          <w:szCs w:val="24"/>
          <w:lang w:val="en-US"/>
        </w:rPr>
        <w:t xml:space="preserve">. Interestingly, pain scores on discharge were similar between groups, </w:t>
      </w:r>
      <w:r w:rsidR="4D159C88" w:rsidRPr="1193C325">
        <w:rPr>
          <w:rFonts w:ascii="Times New Roman" w:eastAsia="Times New Roman" w:hAnsi="Times New Roman" w:cs="Times New Roman"/>
          <w:color w:val="000000" w:themeColor="text1"/>
          <w:sz w:val="24"/>
          <w:szCs w:val="24"/>
          <w:lang w:val="en-US"/>
        </w:rPr>
        <w:t xml:space="preserve">suggesting the analgesic advantage of intraoperative methadone may be limited </w:t>
      </w:r>
      <w:r w:rsidR="4D159C88" w:rsidRPr="1193C325">
        <w:rPr>
          <w:rFonts w:ascii="Times New Roman" w:eastAsia="Times New Roman" w:hAnsi="Times New Roman" w:cs="Times New Roman"/>
          <w:color w:val="000000" w:themeColor="text1"/>
          <w:sz w:val="24"/>
          <w:szCs w:val="24"/>
          <w:lang w:val="en-US"/>
        </w:rPr>
        <w:lastRenderedPageBreak/>
        <w:t>in same-day surgical setting</w:t>
      </w:r>
      <w:r w:rsidR="1658CB9F" w:rsidRPr="1193C325">
        <w:rPr>
          <w:rFonts w:ascii="Times New Roman" w:eastAsia="Times New Roman" w:hAnsi="Times New Roman" w:cs="Times New Roman"/>
          <w:color w:val="000000" w:themeColor="text1"/>
          <w:sz w:val="24"/>
          <w:szCs w:val="24"/>
          <w:lang w:val="en-US"/>
        </w:rPr>
        <w:t xml:space="preserve"> (Green et al., 2024). </w:t>
      </w:r>
      <w:r w:rsidRPr="1193C325">
        <w:rPr>
          <w:rFonts w:ascii="Times New Roman" w:eastAsia="Times New Roman" w:hAnsi="Times New Roman" w:cs="Times New Roman"/>
          <w:sz w:val="24"/>
          <w:szCs w:val="24"/>
          <w:lang w:val="en-US"/>
        </w:rPr>
        <w:t>In breast surgery, Cata et al. (2024) evaluated 133 patients receiving methadone compared to</w:t>
      </w:r>
      <w:r w:rsidR="3FB452D7" w:rsidRPr="1193C325">
        <w:rPr>
          <w:rFonts w:ascii="Times New Roman" w:eastAsia="Times New Roman" w:hAnsi="Times New Roman" w:cs="Times New Roman"/>
          <w:sz w:val="24"/>
          <w:szCs w:val="24"/>
          <w:lang w:val="en-US"/>
        </w:rPr>
        <w:t xml:space="preserve"> </w:t>
      </w:r>
      <w:r w:rsidR="59A87D9E" w:rsidRPr="1193C325">
        <w:rPr>
          <w:rFonts w:ascii="Times New Roman" w:eastAsia="Times New Roman" w:hAnsi="Times New Roman" w:cs="Times New Roman"/>
          <w:color w:val="1F1F1F"/>
          <w:sz w:val="24"/>
          <w:szCs w:val="24"/>
          <w:lang w:val="en-US"/>
        </w:rPr>
        <w:t>2192</w:t>
      </w:r>
      <w:r w:rsidR="59A87D9E"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patients receiving short-acting </w:t>
      </w:r>
      <w:r w:rsidR="19E2AAC2" w:rsidRPr="1193C325">
        <w:rPr>
          <w:rFonts w:ascii="Times New Roman" w:eastAsia="Times New Roman" w:hAnsi="Times New Roman" w:cs="Times New Roman"/>
          <w:sz w:val="24"/>
          <w:szCs w:val="24"/>
          <w:lang w:val="en-US"/>
        </w:rPr>
        <w:t>opioids and</w:t>
      </w:r>
      <w:r w:rsidRPr="1193C325">
        <w:rPr>
          <w:rFonts w:ascii="Times New Roman" w:eastAsia="Times New Roman" w:hAnsi="Times New Roman" w:cs="Times New Roman"/>
          <w:sz w:val="24"/>
          <w:szCs w:val="24"/>
          <w:lang w:val="en-US"/>
        </w:rPr>
        <w:t xml:space="preserve"> found </w:t>
      </w:r>
      <w:r w:rsidR="5339CDD7" w:rsidRPr="1193C325">
        <w:rPr>
          <w:rFonts w:ascii="Times New Roman" w:eastAsia="Times New Roman" w:hAnsi="Times New Roman" w:cs="Times New Roman"/>
          <w:sz w:val="24"/>
          <w:szCs w:val="24"/>
          <w:lang w:val="en-US"/>
        </w:rPr>
        <w:t xml:space="preserve">that </w:t>
      </w:r>
      <w:r w:rsidR="3AB83C24" w:rsidRPr="1193C325">
        <w:rPr>
          <w:rFonts w:ascii="Times New Roman" w:eastAsia="Times New Roman" w:hAnsi="Times New Roman" w:cs="Times New Roman"/>
          <w:sz w:val="24"/>
          <w:szCs w:val="24"/>
          <w:lang w:val="en-US"/>
        </w:rPr>
        <w:t xml:space="preserve">the </w:t>
      </w:r>
      <w:r w:rsidR="5889354D" w:rsidRPr="1193C325">
        <w:rPr>
          <w:rFonts w:ascii="Times New Roman" w:eastAsia="Times New Roman" w:hAnsi="Times New Roman" w:cs="Times New Roman"/>
          <w:sz w:val="24"/>
          <w:szCs w:val="24"/>
          <w:lang w:val="en-US"/>
        </w:rPr>
        <w:t xml:space="preserve">methadone </w:t>
      </w:r>
      <w:r w:rsidR="3AB83C24" w:rsidRPr="1193C325">
        <w:rPr>
          <w:rFonts w:ascii="Times New Roman" w:eastAsia="Times New Roman" w:hAnsi="Times New Roman" w:cs="Times New Roman"/>
          <w:sz w:val="24"/>
          <w:szCs w:val="24"/>
          <w:lang w:val="en-US"/>
        </w:rPr>
        <w:t xml:space="preserve">group had </w:t>
      </w:r>
      <w:r w:rsidRPr="1193C325">
        <w:rPr>
          <w:rFonts w:ascii="Times New Roman" w:eastAsia="Times New Roman" w:hAnsi="Times New Roman" w:cs="Times New Roman"/>
          <w:sz w:val="24"/>
          <w:szCs w:val="24"/>
          <w:lang w:val="en-US"/>
        </w:rPr>
        <w:t>lower postoperative pain intensity scores in the PACU and on postoperative day one. Together, these studies demonstrate that the analgesic benefit of methadone extends beyond the immediate recovery period and is maintained across the early postoperative course in more invasive procedures</w:t>
      </w:r>
      <w:r w:rsidR="3F77F8C3" w:rsidRPr="1193C325">
        <w:rPr>
          <w:rFonts w:ascii="Times New Roman" w:eastAsia="Times New Roman" w:hAnsi="Times New Roman" w:cs="Times New Roman"/>
          <w:sz w:val="24"/>
          <w:szCs w:val="24"/>
          <w:lang w:val="en-US"/>
        </w:rPr>
        <w:t>.</w:t>
      </w:r>
    </w:p>
    <w:p w14:paraId="49A59FAF" w14:textId="28457EC0" w:rsidR="5DBEA8D6" w:rsidRDefault="5DBEA8D6" w:rsidP="2E357E88">
      <w:pPr>
        <w:spacing w:line="480" w:lineRule="auto"/>
        <w:ind w:firstLine="720"/>
        <w:contextualSpacing/>
      </w:pPr>
      <w:r w:rsidRPr="2E357E88">
        <w:rPr>
          <w:rFonts w:ascii="Times New Roman" w:eastAsia="Times New Roman" w:hAnsi="Times New Roman" w:cs="Times New Roman"/>
          <w:sz w:val="24"/>
          <w:szCs w:val="24"/>
          <w:lang w:val="en-US"/>
        </w:rPr>
        <w:t>Overall, the literature demonstrat</w:t>
      </w:r>
      <w:r w:rsidR="04A9E8ED" w:rsidRPr="2E357E88">
        <w:rPr>
          <w:rFonts w:ascii="Times New Roman" w:eastAsia="Times New Roman" w:hAnsi="Times New Roman" w:cs="Times New Roman"/>
          <w:sz w:val="24"/>
          <w:szCs w:val="24"/>
          <w:lang w:val="en-US"/>
        </w:rPr>
        <w:t>e</w:t>
      </w:r>
      <w:r w:rsidR="66D2C929" w:rsidRPr="2E357E88">
        <w:rPr>
          <w:rFonts w:ascii="Times New Roman" w:eastAsia="Times New Roman" w:hAnsi="Times New Roman" w:cs="Times New Roman"/>
          <w:sz w:val="24"/>
          <w:szCs w:val="24"/>
          <w:lang w:val="en-US"/>
        </w:rPr>
        <w:t>d</w:t>
      </w:r>
      <w:r w:rsidR="65EFEE85" w:rsidRPr="2E357E88">
        <w:rPr>
          <w:rFonts w:ascii="Times New Roman" w:eastAsia="Times New Roman" w:hAnsi="Times New Roman" w:cs="Times New Roman"/>
          <w:sz w:val="24"/>
          <w:szCs w:val="24"/>
          <w:lang w:val="en-US"/>
        </w:rPr>
        <w:t xml:space="preserve"> </w:t>
      </w:r>
      <w:r w:rsidRPr="2E357E88">
        <w:rPr>
          <w:rFonts w:ascii="Times New Roman" w:eastAsia="Times New Roman" w:hAnsi="Times New Roman" w:cs="Times New Roman"/>
          <w:sz w:val="24"/>
          <w:szCs w:val="24"/>
          <w:lang w:val="en-US"/>
        </w:rPr>
        <w:t>a consistent pattern rather than a uniform effect. Methadone provid</w:t>
      </w:r>
      <w:r w:rsidR="3354C8FD" w:rsidRPr="2E357E88">
        <w:rPr>
          <w:rFonts w:ascii="Times New Roman" w:eastAsia="Times New Roman" w:hAnsi="Times New Roman" w:cs="Times New Roman"/>
          <w:sz w:val="24"/>
          <w:szCs w:val="24"/>
          <w:lang w:val="en-US"/>
        </w:rPr>
        <w:t>ed</w:t>
      </w:r>
      <w:r w:rsidRPr="2E357E88">
        <w:rPr>
          <w:rFonts w:ascii="Times New Roman" w:eastAsia="Times New Roman" w:hAnsi="Times New Roman" w:cs="Times New Roman"/>
          <w:sz w:val="24"/>
          <w:szCs w:val="24"/>
          <w:lang w:val="en-US"/>
        </w:rPr>
        <w:t xml:space="preserve"> the most substantial reductions in postoperative pain in higher-intensity surgical procedures with prolonged recovery trajectories, while still offering modest benefits in ambulatory settings. </w:t>
      </w:r>
      <w:r w:rsidR="002E5240">
        <w:rPr>
          <w:rFonts w:ascii="Times New Roman" w:eastAsia="Times New Roman" w:hAnsi="Times New Roman" w:cs="Times New Roman"/>
          <w:sz w:val="24"/>
          <w:szCs w:val="24"/>
          <w:lang w:val="en-US"/>
        </w:rPr>
        <w:t>The evidence</w:t>
      </w:r>
      <w:r w:rsidRPr="2E357E88">
        <w:rPr>
          <w:rFonts w:ascii="Times New Roman" w:eastAsia="Times New Roman" w:hAnsi="Times New Roman" w:cs="Times New Roman"/>
          <w:sz w:val="24"/>
          <w:szCs w:val="24"/>
          <w:lang w:val="en-US"/>
        </w:rPr>
        <w:t xml:space="preserve"> </w:t>
      </w:r>
      <w:r w:rsidR="002E5240">
        <w:rPr>
          <w:rFonts w:ascii="Times New Roman" w:eastAsia="Times New Roman" w:hAnsi="Times New Roman" w:cs="Times New Roman"/>
          <w:sz w:val="24"/>
          <w:szCs w:val="24"/>
          <w:lang w:val="en-US"/>
        </w:rPr>
        <w:t>highlights</w:t>
      </w:r>
      <w:r w:rsidRPr="2E357E88">
        <w:rPr>
          <w:rFonts w:ascii="Times New Roman" w:eastAsia="Times New Roman" w:hAnsi="Times New Roman" w:cs="Times New Roman"/>
          <w:sz w:val="24"/>
          <w:szCs w:val="24"/>
          <w:lang w:val="en-US"/>
        </w:rPr>
        <w:t xml:space="preserve"> that the analgesic effectiveness of intraoperative methadone is influenced by surgical context, dosing, and timing of outcome measurement, rather than functioning as a universally equivalent intervention across all surgical populations</w:t>
      </w:r>
      <w:r w:rsidR="3C5B4354" w:rsidRPr="2E357E88">
        <w:rPr>
          <w:rFonts w:ascii="Times New Roman" w:eastAsia="Times New Roman" w:hAnsi="Times New Roman" w:cs="Times New Roman"/>
          <w:sz w:val="24"/>
          <w:szCs w:val="24"/>
          <w:lang w:val="en-US"/>
        </w:rPr>
        <w:t xml:space="preserve"> </w:t>
      </w:r>
      <w:r w:rsidR="62CBFE53" w:rsidRPr="2E357E88">
        <w:rPr>
          <w:rFonts w:ascii="Times New Roman" w:eastAsia="Times New Roman" w:hAnsi="Times New Roman" w:cs="Times New Roman"/>
          <w:sz w:val="24"/>
          <w:szCs w:val="24"/>
          <w:lang w:val="en-US"/>
        </w:rPr>
        <w:t>(Cata et al., 2024; Green et al., 2024; Kendall et al., 2020).</w:t>
      </w:r>
    </w:p>
    <w:p w14:paraId="44ED4091" w14:textId="18E6F7F6" w:rsidR="23B78A03" w:rsidRDefault="5DBEA8D6" w:rsidP="38688B0C">
      <w:pPr>
        <w:spacing w:line="480" w:lineRule="auto"/>
        <w:contextualSpacing/>
        <w:rPr>
          <w:rFonts w:ascii="Times New Roman" w:eastAsia="Times New Roman" w:hAnsi="Times New Roman" w:cs="Times New Roman"/>
          <w:b/>
          <w:bCs/>
          <w:sz w:val="24"/>
          <w:szCs w:val="24"/>
          <w:lang w:val="en-US"/>
        </w:rPr>
      </w:pPr>
      <w:r w:rsidRPr="38688B0C">
        <w:rPr>
          <w:rFonts w:ascii="Times New Roman" w:eastAsia="Times New Roman" w:hAnsi="Times New Roman" w:cs="Times New Roman"/>
          <w:b/>
          <w:bCs/>
          <w:sz w:val="24"/>
          <w:szCs w:val="24"/>
          <w:lang w:val="en-US"/>
        </w:rPr>
        <w:t>Opioid Consumption</w:t>
      </w:r>
    </w:p>
    <w:p w14:paraId="35FB3DE8" w14:textId="12D07A89" w:rsidR="23B78A03" w:rsidRDefault="59F7DE96" w:rsidP="1193C325">
      <w:pPr>
        <w:spacing w:line="480" w:lineRule="auto"/>
        <w:ind w:firstLine="720"/>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Evidence regarding postoperative opioid consumption demonstrate</w:t>
      </w:r>
      <w:r w:rsidR="69D19564" w:rsidRPr="0320F0AF">
        <w:rPr>
          <w:rFonts w:ascii="Times New Roman" w:eastAsia="Times New Roman" w:hAnsi="Times New Roman" w:cs="Times New Roman"/>
          <w:sz w:val="24"/>
          <w:szCs w:val="24"/>
          <w:lang w:val="en-US"/>
        </w:rPr>
        <w:t>d</w:t>
      </w:r>
      <w:r w:rsidRPr="0320F0AF">
        <w:rPr>
          <w:rFonts w:ascii="Times New Roman" w:eastAsia="Times New Roman" w:hAnsi="Times New Roman" w:cs="Times New Roman"/>
          <w:sz w:val="24"/>
          <w:szCs w:val="24"/>
          <w:lang w:val="en-US"/>
        </w:rPr>
        <w:t xml:space="preserve"> greater heterogeneity </w:t>
      </w:r>
      <w:r w:rsidR="268280AB" w:rsidRPr="0320F0AF">
        <w:rPr>
          <w:rFonts w:ascii="Times New Roman" w:eastAsia="Times New Roman" w:hAnsi="Times New Roman" w:cs="Times New Roman"/>
          <w:sz w:val="24"/>
          <w:szCs w:val="24"/>
          <w:lang w:val="en-US"/>
        </w:rPr>
        <w:t>than</w:t>
      </w:r>
      <w:r w:rsidRPr="0320F0AF">
        <w:rPr>
          <w:rFonts w:ascii="Times New Roman" w:eastAsia="Times New Roman" w:hAnsi="Times New Roman" w:cs="Times New Roman"/>
          <w:sz w:val="24"/>
          <w:szCs w:val="24"/>
          <w:lang w:val="en-US"/>
        </w:rPr>
        <w:t xml:space="preserve"> pain outcomes; however, a </w:t>
      </w:r>
      <w:r w:rsidR="0C19C05C" w:rsidRPr="0320F0AF">
        <w:rPr>
          <w:rFonts w:ascii="Times New Roman" w:eastAsia="Times New Roman" w:hAnsi="Times New Roman" w:cs="Times New Roman"/>
          <w:sz w:val="24"/>
          <w:szCs w:val="24"/>
          <w:lang w:val="en-US"/>
        </w:rPr>
        <w:t xml:space="preserve">reproducible </w:t>
      </w:r>
      <w:r w:rsidRPr="0320F0AF">
        <w:rPr>
          <w:rFonts w:ascii="Times New Roman" w:eastAsia="Times New Roman" w:hAnsi="Times New Roman" w:cs="Times New Roman"/>
          <w:sz w:val="24"/>
          <w:szCs w:val="24"/>
          <w:lang w:val="en-US"/>
        </w:rPr>
        <w:t xml:space="preserve">opioid-sparing effect of intraoperative methadone </w:t>
      </w:r>
      <w:r w:rsidR="26356033" w:rsidRPr="0320F0AF">
        <w:rPr>
          <w:rFonts w:ascii="Times New Roman" w:eastAsia="Times New Roman" w:hAnsi="Times New Roman" w:cs="Times New Roman"/>
          <w:sz w:val="24"/>
          <w:szCs w:val="24"/>
          <w:lang w:val="en-US"/>
        </w:rPr>
        <w:t xml:space="preserve">was </w:t>
      </w:r>
      <w:r w:rsidRPr="0320F0AF">
        <w:rPr>
          <w:rFonts w:ascii="Times New Roman" w:eastAsia="Times New Roman" w:hAnsi="Times New Roman" w:cs="Times New Roman"/>
          <w:sz w:val="24"/>
          <w:szCs w:val="24"/>
          <w:lang w:val="en-US"/>
        </w:rPr>
        <w:t xml:space="preserve">observed across multiple levels of evidence. In a meta-analysis of randomized controlled trials, Kendall et al. (2020) reported reductions in postoperative opioid requirements despite variable effects on pain scores, while Lobova et al. (2021) and Xie et al. (2025) similarly demonstrated decreased opioid consumption across systematic reviews and clinical analyses. </w:t>
      </w:r>
      <w:r w:rsidR="6B9813F9" w:rsidRPr="0320F0AF">
        <w:rPr>
          <w:rFonts w:ascii="Times New Roman" w:eastAsia="Times New Roman" w:hAnsi="Times New Roman" w:cs="Times New Roman"/>
          <w:sz w:val="24"/>
          <w:szCs w:val="24"/>
          <w:lang w:val="en-US"/>
        </w:rPr>
        <w:t xml:space="preserve">Across these study designs, patients receiving a single intraoperative dose of methadone generally required fewer postoperative opioids compared with those receiving short-acting opioid regimens. </w:t>
      </w:r>
    </w:p>
    <w:p w14:paraId="0CABC626" w14:textId="3B833656" w:rsidR="50F99AA2" w:rsidRDefault="50F99AA2" w:rsidP="0320F0AF">
      <w:pPr>
        <w:spacing w:line="480" w:lineRule="auto"/>
        <w:ind w:firstLine="720"/>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lastRenderedPageBreak/>
        <w:t>However, this opioid-sparing effect was not observed uniformly across all randomized evidence. In a randomized controlled trial of 113 patients undergoing lumbar fusion surgery, Uhrbrand et al. (2025) found no significant reduction in opioid consumption at 6 or 24 hours when methadone was compared with morphine, despite similar dosing strategies. This variability was also reflected across outcome measures, as reductions in opioid consumption were not always proportional to reported pain scores, suggesting differences in how analgesic benefit is expressed and how postoperative pain is managed. These findings indicate that while an opioid-sparing effect is frequently observed, it is not universal and is influenced by surgical context, study design, and perioperative management.</w:t>
      </w:r>
    </w:p>
    <w:p w14:paraId="5B62AA76" w14:textId="37A9AE41" w:rsidR="23B78A03" w:rsidRDefault="5DBEA8D6" w:rsidP="1193C325">
      <w:pPr>
        <w:spacing w:line="480" w:lineRule="auto"/>
        <w:ind w:firstLine="720"/>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Despite th</w:t>
      </w:r>
      <w:r w:rsidR="05377A16" w:rsidRPr="1193C325">
        <w:rPr>
          <w:rFonts w:ascii="Times New Roman" w:eastAsia="Times New Roman" w:hAnsi="Times New Roman" w:cs="Times New Roman"/>
          <w:sz w:val="24"/>
          <w:szCs w:val="24"/>
          <w:lang w:val="en-US"/>
        </w:rPr>
        <w:t xml:space="preserve">e </w:t>
      </w:r>
      <w:r w:rsidRPr="1193C325">
        <w:rPr>
          <w:rFonts w:ascii="Times New Roman" w:eastAsia="Times New Roman" w:hAnsi="Times New Roman" w:cs="Times New Roman"/>
          <w:sz w:val="24"/>
          <w:szCs w:val="24"/>
          <w:lang w:val="en-US"/>
        </w:rPr>
        <w:t xml:space="preserve">overall consistency, </w:t>
      </w:r>
      <w:r w:rsidR="00F318B8">
        <w:rPr>
          <w:rFonts w:ascii="Times New Roman" w:eastAsia="Times New Roman" w:hAnsi="Times New Roman" w:cs="Times New Roman"/>
          <w:sz w:val="24"/>
          <w:szCs w:val="24"/>
          <w:lang w:val="en-US"/>
        </w:rPr>
        <w:t>differences in effect size</w:t>
      </w:r>
      <w:r w:rsidRPr="1193C325">
        <w:rPr>
          <w:rFonts w:ascii="Times New Roman" w:eastAsia="Times New Roman" w:hAnsi="Times New Roman" w:cs="Times New Roman"/>
          <w:sz w:val="24"/>
          <w:szCs w:val="24"/>
          <w:lang w:val="en-US"/>
        </w:rPr>
        <w:t xml:space="preserve"> of opioid reduction </w:t>
      </w:r>
      <w:r w:rsidR="576CC1B5" w:rsidRPr="1193C325">
        <w:rPr>
          <w:rFonts w:ascii="Times New Roman" w:eastAsia="Times New Roman" w:hAnsi="Times New Roman" w:cs="Times New Roman"/>
          <w:sz w:val="24"/>
          <w:szCs w:val="24"/>
          <w:lang w:val="en-US"/>
        </w:rPr>
        <w:t>wa</w:t>
      </w:r>
      <w:r w:rsidRPr="1193C325">
        <w:rPr>
          <w:rFonts w:ascii="Times New Roman" w:eastAsia="Times New Roman" w:hAnsi="Times New Roman" w:cs="Times New Roman"/>
          <w:sz w:val="24"/>
          <w:szCs w:val="24"/>
          <w:lang w:val="en-US"/>
        </w:rPr>
        <w:t xml:space="preserve">s </w:t>
      </w:r>
      <w:bookmarkStart w:id="0" w:name="_Int_FvxAMIAA"/>
      <w:r w:rsidRPr="1193C325">
        <w:rPr>
          <w:rFonts w:ascii="Times New Roman" w:eastAsia="Times New Roman" w:hAnsi="Times New Roman" w:cs="Times New Roman"/>
          <w:sz w:val="24"/>
          <w:szCs w:val="24"/>
          <w:lang w:val="en-US"/>
        </w:rPr>
        <w:t>evident</w:t>
      </w:r>
      <w:bookmarkEnd w:id="0"/>
      <w:r w:rsidRPr="1193C325">
        <w:rPr>
          <w:rFonts w:ascii="Times New Roman" w:eastAsia="Times New Roman" w:hAnsi="Times New Roman" w:cs="Times New Roman"/>
          <w:sz w:val="24"/>
          <w:szCs w:val="24"/>
          <w:lang w:val="en-US"/>
        </w:rPr>
        <w:t xml:space="preserve"> across studies. Kendall et al. (2020) and </w:t>
      </w:r>
      <w:proofErr w:type="spellStart"/>
      <w:r w:rsidRPr="1193C325">
        <w:rPr>
          <w:rFonts w:ascii="Times New Roman" w:eastAsia="Times New Roman" w:hAnsi="Times New Roman" w:cs="Times New Roman"/>
          <w:sz w:val="24"/>
          <w:szCs w:val="24"/>
          <w:lang w:val="en-US"/>
        </w:rPr>
        <w:t>Lobova</w:t>
      </w:r>
      <w:proofErr w:type="spellEnd"/>
      <w:r w:rsidRPr="1193C325">
        <w:rPr>
          <w:rFonts w:ascii="Times New Roman" w:eastAsia="Times New Roman" w:hAnsi="Times New Roman" w:cs="Times New Roman"/>
          <w:sz w:val="24"/>
          <w:szCs w:val="24"/>
          <w:lang w:val="en-US"/>
        </w:rPr>
        <w:t xml:space="preserve"> et al. (2021) both noted differences in effect size across surgical populations</w:t>
      </w:r>
      <w:r w:rsidR="22F21F34" w:rsidRPr="1193C325">
        <w:rPr>
          <w:rFonts w:ascii="Times New Roman" w:eastAsia="Times New Roman" w:hAnsi="Times New Roman" w:cs="Times New Roman"/>
          <w:sz w:val="24"/>
          <w:szCs w:val="24"/>
          <w:lang w:val="en-US"/>
        </w:rPr>
        <w:t xml:space="preserve">. </w:t>
      </w:r>
      <w:r w:rsidR="18864A1C" w:rsidRPr="1193C325">
        <w:rPr>
          <w:rFonts w:ascii="Times New Roman" w:eastAsia="Times New Roman" w:hAnsi="Times New Roman" w:cs="Times New Roman"/>
          <w:sz w:val="24"/>
          <w:szCs w:val="24"/>
          <w:lang w:val="en-US"/>
        </w:rPr>
        <w:t>Ber</w:t>
      </w:r>
      <w:r w:rsidR="0077578E">
        <w:rPr>
          <w:rFonts w:ascii="Times New Roman" w:eastAsia="Times New Roman" w:hAnsi="Times New Roman" w:cs="Times New Roman"/>
          <w:sz w:val="24"/>
          <w:szCs w:val="24"/>
          <w:lang w:val="en-US"/>
        </w:rPr>
        <w:t>n</w:t>
      </w:r>
      <w:r w:rsidR="18864A1C" w:rsidRPr="1193C325">
        <w:rPr>
          <w:rFonts w:ascii="Times New Roman" w:eastAsia="Times New Roman" w:hAnsi="Times New Roman" w:cs="Times New Roman"/>
          <w:sz w:val="24"/>
          <w:szCs w:val="24"/>
          <w:lang w:val="en-US"/>
        </w:rPr>
        <w:t xml:space="preserve">stein et al. (2025) and Cata et al. (2024) </w:t>
      </w:r>
      <w:r w:rsidR="578B6F83" w:rsidRPr="1193C325">
        <w:rPr>
          <w:rFonts w:ascii="Times New Roman" w:eastAsia="Times New Roman" w:hAnsi="Times New Roman" w:cs="Times New Roman"/>
          <w:sz w:val="24"/>
          <w:szCs w:val="24"/>
          <w:lang w:val="en-US"/>
        </w:rPr>
        <w:t xml:space="preserve">highlighted differences in perioperative management, with the incorporation of ERAS-based protocols and </w:t>
      </w:r>
      <w:r w:rsidR="05E4388F" w:rsidRPr="1193C325">
        <w:rPr>
          <w:rFonts w:ascii="Times New Roman" w:eastAsia="Times New Roman" w:hAnsi="Times New Roman" w:cs="Times New Roman"/>
          <w:sz w:val="24"/>
          <w:szCs w:val="24"/>
          <w:lang w:val="en-US"/>
        </w:rPr>
        <w:t xml:space="preserve">varied intraoperative management, respectively. </w:t>
      </w:r>
      <w:r w:rsidRPr="1193C325">
        <w:rPr>
          <w:rFonts w:ascii="Times New Roman" w:eastAsia="Times New Roman" w:hAnsi="Times New Roman" w:cs="Times New Roman"/>
          <w:sz w:val="24"/>
          <w:szCs w:val="24"/>
          <w:lang w:val="en-US"/>
        </w:rPr>
        <w:t>This heterogeneity appea</w:t>
      </w:r>
      <w:r w:rsidR="6C1D758A" w:rsidRPr="1193C325">
        <w:rPr>
          <w:rFonts w:ascii="Times New Roman" w:eastAsia="Times New Roman" w:hAnsi="Times New Roman" w:cs="Times New Roman"/>
          <w:sz w:val="24"/>
          <w:szCs w:val="24"/>
          <w:lang w:val="en-US"/>
        </w:rPr>
        <w:t>red</w:t>
      </w:r>
      <w:r w:rsidRPr="1193C325">
        <w:rPr>
          <w:rFonts w:ascii="Times New Roman" w:eastAsia="Times New Roman" w:hAnsi="Times New Roman" w:cs="Times New Roman"/>
          <w:sz w:val="24"/>
          <w:szCs w:val="24"/>
          <w:lang w:val="en-US"/>
        </w:rPr>
        <w:t xml:space="preserve"> to be influenced by multiple interacting factors, including methadone dosing strategies, use of adjunct analgesics, procedural complexity, anesthetic technique, baseline opioid tolerance, and provider prescribing patterns. Differences in outcome measurement, including variation in MME reporting and postoperative time intervals assessed, further limit direct comparability across studies. </w:t>
      </w:r>
      <w:r w:rsidR="002E5240">
        <w:rPr>
          <w:rFonts w:ascii="Times New Roman" w:eastAsia="Times New Roman" w:hAnsi="Times New Roman" w:cs="Times New Roman"/>
          <w:sz w:val="24"/>
          <w:szCs w:val="24"/>
          <w:lang w:val="en-US"/>
        </w:rPr>
        <w:t>Data across studies</w:t>
      </w:r>
      <w:r w:rsidRPr="1193C325">
        <w:rPr>
          <w:rFonts w:ascii="Times New Roman" w:eastAsia="Times New Roman" w:hAnsi="Times New Roman" w:cs="Times New Roman"/>
          <w:sz w:val="24"/>
          <w:szCs w:val="24"/>
          <w:lang w:val="en-US"/>
        </w:rPr>
        <w:t xml:space="preserve"> indicate that while an opioid-sparing effect is consistent</w:t>
      </w:r>
      <w:r w:rsidR="00B5111F">
        <w:rPr>
          <w:rFonts w:ascii="Times New Roman" w:eastAsia="Times New Roman" w:hAnsi="Times New Roman" w:cs="Times New Roman"/>
          <w:sz w:val="24"/>
          <w:szCs w:val="24"/>
          <w:lang w:val="en-US"/>
        </w:rPr>
        <w:t>ly observed</w:t>
      </w:r>
      <w:r w:rsidRPr="1193C325">
        <w:rPr>
          <w:rFonts w:ascii="Times New Roman" w:eastAsia="Times New Roman" w:hAnsi="Times New Roman" w:cs="Times New Roman"/>
          <w:sz w:val="24"/>
          <w:szCs w:val="24"/>
          <w:lang w:val="en-US"/>
        </w:rPr>
        <w:t>, its magnitude is context-dependent and influenced by both patient- and system-level variables</w:t>
      </w:r>
      <w:r w:rsidR="4553B904" w:rsidRPr="1193C325">
        <w:rPr>
          <w:rFonts w:ascii="Times New Roman" w:eastAsia="Times New Roman" w:hAnsi="Times New Roman" w:cs="Times New Roman"/>
          <w:sz w:val="24"/>
          <w:szCs w:val="24"/>
          <w:lang w:val="en-US"/>
        </w:rPr>
        <w:t>.</w:t>
      </w:r>
    </w:p>
    <w:p w14:paraId="7B13B59B" w14:textId="170E9396" w:rsidR="23B78A03" w:rsidRDefault="5DBEA8D6" w:rsidP="1193C325">
      <w:pPr>
        <w:spacing w:line="480" w:lineRule="auto"/>
        <w:ind w:firstLine="720"/>
        <w:contextualSpacing/>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Dose-dependent effects further support this relationship. In a randomized, dose-finding study, Kharasch et al. (2023) demonstrated reduced in-hospital opioid use</w:t>
      </w:r>
      <w:r w:rsidR="5B0A214C" w:rsidRPr="1193C325">
        <w:rPr>
          <w:rFonts w:ascii="Times New Roman" w:eastAsia="Times New Roman" w:hAnsi="Times New Roman" w:cs="Times New Roman"/>
          <w:sz w:val="24"/>
          <w:szCs w:val="24"/>
          <w:lang w:val="en-US"/>
        </w:rPr>
        <w:t xml:space="preserve"> across a variety of surgical procedures</w:t>
      </w:r>
      <w:r w:rsidRPr="1193C325">
        <w:rPr>
          <w:rFonts w:ascii="Times New Roman" w:eastAsia="Times New Roman" w:hAnsi="Times New Roman" w:cs="Times New Roman"/>
          <w:sz w:val="24"/>
          <w:szCs w:val="24"/>
          <w:lang w:val="en-US"/>
        </w:rPr>
        <w:t xml:space="preserve">, with methadone groups requiring approximately 20–27 mg MME compared </w:t>
      </w:r>
      <w:r w:rsidRPr="1193C325">
        <w:rPr>
          <w:rFonts w:ascii="Times New Roman" w:eastAsia="Times New Roman" w:hAnsi="Times New Roman" w:cs="Times New Roman"/>
          <w:sz w:val="24"/>
          <w:szCs w:val="24"/>
          <w:lang w:val="en-US"/>
        </w:rPr>
        <w:lastRenderedPageBreak/>
        <w:t>with 46 mg in short-acting opioid controls</w:t>
      </w:r>
      <w:r w:rsidR="00B5111F">
        <w:rPr>
          <w:rFonts w:ascii="Times New Roman" w:eastAsia="Times New Roman" w:hAnsi="Times New Roman" w:cs="Times New Roman"/>
          <w:sz w:val="24"/>
          <w:szCs w:val="24"/>
          <w:lang w:val="en-US"/>
        </w:rPr>
        <w:t>.</w:t>
      </w:r>
      <w:r w:rsidRPr="1193C325">
        <w:rPr>
          <w:rFonts w:ascii="Times New Roman" w:eastAsia="Times New Roman" w:hAnsi="Times New Roman" w:cs="Times New Roman"/>
          <w:sz w:val="24"/>
          <w:szCs w:val="24"/>
          <w:lang w:val="en-US"/>
        </w:rPr>
        <w:t xml:space="preserve"> Importantly, even lower-dose </w:t>
      </w:r>
      <w:r w:rsidR="1842D52C" w:rsidRPr="1193C325">
        <w:rPr>
          <w:rFonts w:ascii="Times New Roman" w:eastAsia="Times New Roman" w:hAnsi="Times New Roman" w:cs="Times New Roman"/>
          <w:sz w:val="24"/>
          <w:szCs w:val="24"/>
          <w:lang w:val="en-US"/>
        </w:rPr>
        <w:t>(0.1</w:t>
      </w:r>
      <w:r w:rsidR="0077578E">
        <w:rPr>
          <w:rFonts w:ascii="Times New Roman" w:eastAsia="Times New Roman" w:hAnsi="Times New Roman" w:cs="Times New Roman"/>
          <w:sz w:val="24"/>
          <w:szCs w:val="24"/>
          <w:lang w:val="en-US"/>
        </w:rPr>
        <w:t xml:space="preserve"> </w:t>
      </w:r>
      <w:r w:rsidR="1842D52C" w:rsidRPr="1193C325">
        <w:rPr>
          <w:rFonts w:ascii="Times New Roman" w:eastAsia="Times New Roman" w:hAnsi="Times New Roman" w:cs="Times New Roman"/>
          <w:sz w:val="24"/>
          <w:szCs w:val="24"/>
          <w:lang w:val="en-US"/>
        </w:rPr>
        <w:t xml:space="preserve">mg/kg) </w:t>
      </w:r>
      <w:r w:rsidRPr="1193C325">
        <w:rPr>
          <w:rFonts w:ascii="Times New Roman" w:eastAsia="Times New Roman" w:hAnsi="Times New Roman" w:cs="Times New Roman"/>
          <w:sz w:val="24"/>
          <w:szCs w:val="24"/>
          <w:lang w:val="en-US"/>
        </w:rPr>
        <w:t>methadone regimens produced statistically significant reductions in opioid use</w:t>
      </w:r>
      <w:r w:rsidR="1E2D5884" w:rsidRPr="1193C325">
        <w:rPr>
          <w:rFonts w:ascii="Times New Roman" w:eastAsia="Times New Roman" w:hAnsi="Times New Roman" w:cs="Times New Roman"/>
          <w:sz w:val="24"/>
          <w:szCs w:val="24"/>
          <w:lang w:val="en-US"/>
        </w:rPr>
        <w:t xml:space="preserve"> in patients undergoing l</w:t>
      </w:r>
      <w:r w:rsidR="1E2D5884" w:rsidRPr="1193C325">
        <w:rPr>
          <w:rFonts w:ascii="Times New Roman" w:eastAsia="Times New Roman" w:hAnsi="Times New Roman" w:cs="Times New Roman"/>
          <w:color w:val="000000" w:themeColor="text1"/>
          <w:sz w:val="24"/>
          <w:szCs w:val="24"/>
        </w:rPr>
        <w:t>aparoscopic cholecystectomies</w:t>
      </w:r>
      <w:r w:rsidRPr="1193C325">
        <w:rPr>
          <w:rFonts w:ascii="Times New Roman" w:eastAsia="Times New Roman" w:hAnsi="Times New Roman" w:cs="Times New Roman"/>
          <w:sz w:val="24"/>
          <w:szCs w:val="24"/>
          <w:lang w:val="en-US"/>
        </w:rPr>
        <w:t>, indicating that the opioid-sparing effect is present across a range of dosing strategies</w:t>
      </w:r>
      <w:r w:rsidR="33EA7CCF" w:rsidRPr="1193C325">
        <w:rPr>
          <w:rFonts w:ascii="Times New Roman" w:eastAsia="Times New Roman" w:hAnsi="Times New Roman" w:cs="Times New Roman"/>
          <w:sz w:val="24"/>
          <w:szCs w:val="24"/>
          <w:lang w:val="en-US"/>
        </w:rPr>
        <w:t xml:space="preserve"> (Ar</w:t>
      </w:r>
      <w:r w:rsidR="33EA7CCF" w:rsidRPr="1193C325">
        <w:rPr>
          <w:rFonts w:ascii="Times New Roman" w:eastAsia="Times New Roman" w:hAnsi="Times New Roman" w:cs="Times New Roman"/>
          <w:color w:val="000000" w:themeColor="text1"/>
          <w:sz w:val="24"/>
          <w:szCs w:val="24"/>
          <w:lang w:val="en-US"/>
        </w:rPr>
        <w:t xml:space="preserve">riaza et al., 2021). </w:t>
      </w:r>
      <w:r w:rsidRPr="1193C325">
        <w:rPr>
          <w:rFonts w:ascii="Times New Roman" w:eastAsia="Times New Roman" w:hAnsi="Times New Roman" w:cs="Times New Roman"/>
          <w:sz w:val="24"/>
          <w:szCs w:val="24"/>
          <w:lang w:val="en-US"/>
        </w:rPr>
        <w:t xml:space="preserve">However, the pilot design and limited sample size of </w:t>
      </w:r>
      <w:r w:rsidR="7B5F078A" w:rsidRPr="1193C325">
        <w:rPr>
          <w:rFonts w:ascii="Times New Roman" w:eastAsia="Times New Roman" w:hAnsi="Times New Roman" w:cs="Times New Roman"/>
          <w:sz w:val="24"/>
          <w:szCs w:val="24"/>
          <w:lang w:val="en-US"/>
        </w:rPr>
        <w:t>these</w:t>
      </w:r>
      <w:r w:rsidR="17869D46"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studies </w:t>
      </w:r>
      <w:r w:rsidR="15F9D762" w:rsidRPr="1193C325">
        <w:rPr>
          <w:rFonts w:ascii="Times New Roman" w:eastAsia="Times New Roman" w:hAnsi="Times New Roman" w:cs="Times New Roman"/>
          <w:sz w:val="24"/>
          <w:szCs w:val="24"/>
          <w:lang w:val="en-US"/>
        </w:rPr>
        <w:t>restricted</w:t>
      </w:r>
      <w:r w:rsidR="581A7402"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the precision of dose-response conclusions</w:t>
      </w:r>
      <w:r w:rsidR="65A57C86"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highlight</w:t>
      </w:r>
      <w:r w:rsidR="73CEDABD" w:rsidRPr="1193C325">
        <w:rPr>
          <w:rFonts w:ascii="Times New Roman" w:eastAsia="Times New Roman" w:hAnsi="Times New Roman" w:cs="Times New Roman"/>
          <w:sz w:val="24"/>
          <w:szCs w:val="24"/>
          <w:lang w:val="en-US"/>
        </w:rPr>
        <w:t>ing</w:t>
      </w:r>
      <w:r w:rsidR="46ABAA39"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the need for larger, procedure-specific investigations. </w:t>
      </w:r>
      <w:r w:rsidR="4B021FF1" w:rsidRPr="1193C325">
        <w:rPr>
          <w:rFonts w:ascii="Times New Roman" w:eastAsia="Times New Roman" w:hAnsi="Times New Roman" w:cs="Times New Roman"/>
          <w:sz w:val="24"/>
          <w:szCs w:val="24"/>
          <w:lang w:val="en-US"/>
        </w:rPr>
        <w:t>T</w:t>
      </w:r>
      <w:r w:rsidRPr="1193C325">
        <w:rPr>
          <w:rFonts w:ascii="Times New Roman" w:eastAsia="Times New Roman" w:hAnsi="Times New Roman" w:cs="Times New Roman"/>
          <w:sz w:val="24"/>
          <w:szCs w:val="24"/>
          <w:lang w:val="en-US"/>
        </w:rPr>
        <w:t xml:space="preserve">he literature collectively </w:t>
      </w:r>
      <w:r w:rsidR="002E5240">
        <w:rPr>
          <w:rFonts w:ascii="Times New Roman" w:eastAsia="Times New Roman" w:hAnsi="Times New Roman" w:cs="Times New Roman"/>
          <w:sz w:val="24"/>
          <w:szCs w:val="24"/>
          <w:lang w:val="en-US"/>
        </w:rPr>
        <w:t>supports</w:t>
      </w:r>
      <w:r w:rsidR="583BACC6"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a </w:t>
      </w:r>
      <w:r w:rsidR="006E5A4F">
        <w:rPr>
          <w:rFonts w:ascii="Times New Roman" w:eastAsia="Times New Roman" w:hAnsi="Times New Roman" w:cs="Times New Roman"/>
          <w:sz w:val="24"/>
          <w:szCs w:val="24"/>
          <w:lang w:val="en-US"/>
        </w:rPr>
        <w:t xml:space="preserve">reproducible </w:t>
      </w:r>
      <w:r w:rsidRPr="1193C325">
        <w:rPr>
          <w:rFonts w:ascii="Times New Roman" w:eastAsia="Times New Roman" w:hAnsi="Times New Roman" w:cs="Times New Roman"/>
          <w:sz w:val="24"/>
          <w:szCs w:val="24"/>
          <w:lang w:val="en-US"/>
        </w:rPr>
        <w:t>opioid-sparing effect across diverse surgical populations, while also revealing that the magnitude of reduction is influenced by dosing strategies, surgical intensity, and perioperative management practices</w:t>
      </w:r>
      <w:r w:rsidR="61E0D831" w:rsidRPr="1193C325">
        <w:rPr>
          <w:rFonts w:ascii="Times New Roman" w:eastAsia="Times New Roman" w:hAnsi="Times New Roman" w:cs="Times New Roman"/>
          <w:sz w:val="24"/>
          <w:szCs w:val="24"/>
          <w:lang w:val="en-US"/>
        </w:rPr>
        <w:t xml:space="preserve">. </w:t>
      </w:r>
    </w:p>
    <w:p w14:paraId="73EE5169" w14:textId="0C76D226" w:rsidR="23B78A03" w:rsidRDefault="5DBEA8D6" w:rsidP="343CB678">
      <w:pPr>
        <w:spacing w:line="480" w:lineRule="auto"/>
        <w:contextualSpacing/>
        <w:rPr>
          <w:rFonts w:ascii="Times New Roman" w:eastAsia="Times New Roman" w:hAnsi="Times New Roman" w:cs="Times New Roman"/>
          <w:b/>
          <w:bCs/>
          <w:sz w:val="24"/>
          <w:szCs w:val="24"/>
          <w:lang w:val="en-US"/>
        </w:rPr>
      </w:pPr>
      <w:r w:rsidRPr="343CB678">
        <w:rPr>
          <w:rFonts w:ascii="Times New Roman" w:eastAsia="Times New Roman" w:hAnsi="Times New Roman" w:cs="Times New Roman"/>
          <w:b/>
          <w:bCs/>
          <w:sz w:val="24"/>
          <w:szCs w:val="24"/>
          <w:lang w:val="en-US"/>
        </w:rPr>
        <w:t>Safety</w:t>
      </w:r>
    </w:p>
    <w:p w14:paraId="5187E16E" w14:textId="7095DD57" w:rsidR="23B78A03" w:rsidRDefault="00B5111F" w:rsidP="343CB678">
      <w:pPr>
        <w:spacing w:line="48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Safety was evaluated across multiple domains in the literature</w:t>
      </w:r>
      <w:r w:rsidR="5DBEA8D6" w:rsidRPr="343CB678">
        <w:rPr>
          <w:rFonts w:ascii="Times New Roman" w:eastAsia="Times New Roman" w:hAnsi="Times New Roman" w:cs="Times New Roman"/>
          <w:sz w:val="24"/>
          <w:szCs w:val="24"/>
          <w:lang w:val="en-US"/>
        </w:rPr>
        <w:t xml:space="preserve"> to assess the perioperative risk profile of intraoperative methadone, including respiratory depression, sedation, postoperative nausea and vomiting (PONV), cardiac effects such as QT interval prolongation, and recovery metrics. </w:t>
      </w:r>
      <w:r w:rsidR="002E5240">
        <w:rPr>
          <w:rFonts w:ascii="Times New Roman" w:eastAsia="Times New Roman" w:hAnsi="Times New Roman" w:cs="Times New Roman"/>
          <w:sz w:val="24"/>
          <w:szCs w:val="24"/>
          <w:lang w:val="en-US"/>
        </w:rPr>
        <w:t xml:space="preserve">Evidence across study designs indicates that intraoperative methadone does not </w:t>
      </w:r>
      <w:r w:rsidR="5DBEA8D6" w:rsidRPr="343CB678">
        <w:rPr>
          <w:rFonts w:ascii="Times New Roman" w:eastAsia="Times New Roman" w:hAnsi="Times New Roman" w:cs="Times New Roman"/>
          <w:sz w:val="24"/>
          <w:szCs w:val="24"/>
          <w:lang w:val="en-US"/>
        </w:rPr>
        <w:t xml:space="preserve">increase the incidence of clinically significant opioid-related adverse effects compared with short-acting opioids. </w:t>
      </w:r>
      <w:r w:rsidR="4263B562" w:rsidRPr="343CB678">
        <w:rPr>
          <w:rFonts w:ascii="Times New Roman" w:eastAsia="Times New Roman" w:hAnsi="Times New Roman" w:cs="Times New Roman"/>
          <w:sz w:val="24"/>
          <w:szCs w:val="24"/>
          <w:lang w:val="en-US"/>
        </w:rPr>
        <w:t>I</w:t>
      </w:r>
      <w:r w:rsidR="5DBEA8D6" w:rsidRPr="343CB678">
        <w:rPr>
          <w:rFonts w:ascii="Times New Roman" w:eastAsia="Times New Roman" w:hAnsi="Times New Roman" w:cs="Times New Roman"/>
          <w:sz w:val="24"/>
          <w:szCs w:val="24"/>
          <w:lang w:val="en-US"/>
        </w:rPr>
        <w:t>n a meta-analysis of randomized controlled trials</w:t>
      </w:r>
      <w:r w:rsidR="392B24F5" w:rsidRPr="343CB678">
        <w:rPr>
          <w:rFonts w:ascii="Times New Roman" w:eastAsia="Times New Roman" w:hAnsi="Times New Roman" w:cs="Times New Roman"/>
          <w:sz w:val="24"/>
          <w:szCs w:val="24"/>
          <w:lang w:val="en-US"/>
        </w:rPr>
        <w:t xml:space="preserve"> </w:t>
      </w:r>
      <w:r w:rsidR="3119ED5F" w:rsidRPr="343CB678">
        <w:rPr>
          <w:rFonts w:ascii="Times New Roman" w:eastAsia="Times New Roman" w:hAnsi="Times New Roman" w:cs="Times New Roman"/>
          <w:sz w:val="24"/>
          <w:szCs w:val="24"/>
          <w:lang w:val="en-US"/>
        </w:rPr>
        <w:t xml:space="preserve">encompassing a variety of </w:t>
      </w:r>
      <w:r w:rsidR="2BDEBB64" w:rsidRPr="343CB678">
        <w:rPr>
          <w:rFonts w:ascii="Times New Roman" w:eastAsia="Times New Roman" w:hAnsi="Times New Roman" w:cs="Times New Roman"/>
          <w:sz w:val="24"/>
          <w:szCs w:val="24"/>
          <w:lang w:val="en-US"/>
        </w:rPr>
        <w:t>specialties</w:t>
      </w:r>
      <w:r w:rsidR="002E5240">
        <w:rPr>
          <w:rFonts w:ascii="Times New Roman" w:eastAsia="Times New Roman" w:hAnsi="Times New Roman" w:cs="Times New Roman"/>
          <w:sz w:val="24"/>
          <w:szCs w:val="24"/>
          <w:lang w:val="en-US"/>
        </w:rPr>
        <w:t>,</w:t>
      </w:r>
      <w:r w:rsidR="3119ED5F" w:rsidRPr="343CB678">
        <w:rPr>
          <w:rFonts w:ascii="Times New Roman" w:eastAsia="Times New Roman" w:hAnsi="Times New Roman" w:cs="Times New Roman"/>
          <w:sz w:val="24"/>
          <w:szCs w:val="24"/>
          <w:lang w:val="en-US"/>
        </w:rPr>
        <w:t xml:space="preserve"> including laparoscopic surgeries,</w:t>
      </w:r>
      <w:r w:rsidR="5DBEA8D6" w:rsidRPr="343CB678">
        <w:rPr>
          <w:rFonts w:ascii="Times New Roman" w:eastAsia="Times New Roman" w:hAnsi="Times New Roman" w:cs="Times New Roman"/>
          <w:sz w:val="24"/>
          <w:szCs w:val="24"/>
          <w:lang w:val="en-US"/>
        </w:rPr>
        <w:t xml:space="preserve"> </w:t>
      </w:r>
      <w:r w:rsidR="53CCF9AF" w:rsidRPr="343CB678">
        <w:rPr>
          <w:rFonts w:ascii="Times New Roman" w:eastAsia="Times New Roman" w:hAnsi="Times New Roman" w:cs="Times New Roman"/>
          <w:sz w:val="24"/>
          <w:szCs w:val="24"/>
          <w:lang w:val="en-US"/>
        </w:rPr>
        <w:t xml:space="preserve">Kendall et al. (2020) </w:t>
      </w:r>
      <w:r w:rsidR="5DBEA8D6" w:rsidRPr="343CB678">
        <w:rPr>
          <w:rFonts w:ascii="Times New Roman" w:eastAsia="Times New Roman" w:hAnsi="Times New Roman" w:cs="Times New Roman"/>
          <w:sz w:val="24"/>
          <w:szCs w:val="24"/>
          <w:lang w:val="en-US"/>
        </w:rPr>
        <w:t>found no increase in opioid-related adverse events</w:t>
      </w:r>
      <w:r w:rsidR="2682E840" w:rsidRPr="343CB678">
        <w:rPr>
          <w:rFonts w:ascii="Times New Roman" w:eastAsia="Times New Roman" w:hAnsi="Times New Roman" w:cs="Times New Roman"/>
          <w:sz w:val="24"/>
          <w:szCs w:val="24"/>
          <w:lang w:val="en-US"/>
        </w:rPr>
        <w:t xml:space="preserve">. This </w:t>
      </w:r>
      <w:r w:rsidR="5DBEA8D6" w:rsidRPr="343CB678">
        <w:rPr>
          <w:rFonts w:ascii="Times New Roman" w:eastAsia="Times New Roman" w:hAnsi="Times New Roman" w:cs="Times New Roman"/>
          <w:sz w:val="24"/>
          <w:szCs w:val="24"/>
          <w:lang w:val="en-US"/>
        </w:rPr>
        <w:t xml:space="preserve">finding </w:t>
      </w:r>
      <w:r w:rsidR="7D616228" w:rsidRPr="343CB678">
        <w:rPr>
          <w:rFonts w:ascii="Times New Roman" w:eastAsia="Times New Roman" w:hAnsi="Times New Roman" w:cs="Times New Roman"/>
          <w:sz w:val="24"/>
          <w:szCs w:val="24"/>
          <w:lang w:val="en-US"/>
        </w:rPr>
        <w:t xml:space="preserve">was </w:t>
      </w:r>
      <w:r w:rsidR="5DBEA8D6" w:rsidRPr="343CB678">
        <w:rPr>
          <w:rFonts w:ascii="Times New Roman" w:eastAsia="Times New Roman" w:hAnsi="Times New Roman" w:cs="Times New Roman"/>
          <w:sz w:val="24"/>
          <w:szCs w:val="24"/>
          <w:lang w:val="en-US"/>
        </w:rPr>
        <w:t>supported by randomized trials in spine and ambulatory surgery populations by Murphy et al. (2021) and Green et al. (2024). Collectively, these findings indicate a comparable safety profile, despite methadone’s longer pharmacokinetic duration.</w:t>
      </w:r>
    </w:p>
    <w:p w14:paraId="29DDC2D3" w14:textId="7AFFD99B" w:rsidR="23B78A03" w:rsidRDefault="5DBEA8D6" w:rsidP="1193C325">
      <w:pPr>
        <w:spacing w:line="480" w:lineRule="auto"/>
        <w:ind w:firstLine="720"/>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 xml:space="preserve">Respiratory safety, a primary concern given methadone’s long half-life, </w:t>
      </w:r>
      <w:r w:rsidR="4FA3556D" w:rsidRPr="1193C325">
        <w:rPr>
          <w:rFonts w:ascii="Times New Roman" w:eastAsia="Times New Roman" w:hAnsi="Times New Roman" w:cs="Times New Roman"/>
          <w:sz w:val="24"/>
          <w:szCs w:val="24"/>
          <w:lang w:val="en-US"/>
        </w:rPr>
        <w:t xml:space="preserve">was </w:t>
      </w:r>
      <w:r w:rsidRPr="1193C325">
        <w:rPr>
          <w:rFonts w:ascii="Times New Roman" w:eastAsia="Times New Roman" w:hAnsi="Times New Roman" w:cs="Times New Roman"/>
          <w:sz w:val="24"/>
          <w:szCs w:val="24"/>
          <w:lang w:val="en-US"/>
        </w:rPr>
        <w:t xml:space="preserve">consistently evaluated across study designs. Kendall et al. (2020) reported no increase in respiratory </w:t>
      </w:r>
      <w:r w:rsidRPr="1193C325">
        <w:rPr>
          <w:rFonts w:ascii="Times New Roman" w:eastAsia="Times New Roman" w:hAnsi="Times New Roman" w:cs="Times New Roman"/>
          <w:sz w:val="24"/>
          <w:szCs w:val="24"/>
          <w:lang w:val="en-US"/>
        </w:rPr>
        <w:lastRenderedPageBreak/>
        <w:t xml:space="preserve">depression or naloxone administration across pooled randomized trials, while Murphy et al. (2021), in a randomized trial of 130 spine surgery patients, similarly found no differences in respiratory complications. In a large retrospective cohort, Cata et al. (2024) also reported no increase in airway interventions or respiratory events. </w:t>
      </w:r>
      <w:r w:rsidR="53415A23" w:rsidRPr="1193C325">
        <w:rPr>
          <w:rFonts w:ascii="Times New Roman" w:eastAsia="Times New Roman" w:hAnsi="Times New Roman" w:cs="Times New Roman"/>
          <w:sz w:val="24"/>
          <w:szCs w:val="24"/>
          <w:lang w:val="en-US"/>
        </w:rPr>
        <w:t>T</w:t>
      </w:r>
      <w:r w:rsidRPr="1193C325">
        <w:rPr>
          <w:rFonts w:ascii="Times New Roman" w:eastAsia="Times New Roman" w:hAnsi="Times New Roman" w:cs="Times New Roman"/>
          <w:sz w:val="24"/>
          <w:szCs w:val="24"/>
          <w:lang w:val="en-US"/>
        </w:rPr>
        <w:t>hese findings persist</w:t>
      </w:r>
      <w:r w:rsidR="17CF0F2A" w:rsidRPr="1193C325">
        <w:rPr>
          <w:rFonts w:ascii="Times New Roman" w:eastAsia="Times New Roman" w:hAnsi="Times New Roman" w:cs="Times New Roman"/>
          <w:sz w:val="24"/>
          <w:szCs w:val="24"/>
          <w:lang w:val="en-US"/>
        </w:rPr>
        <w:t>ed</w:t>
      </w:r>
      <w:r w:rsidRPr="1193C325">
        <w:rPr>
          <w:rFonts w:ascii="Times New Roman" w:eastAsia="Times New Roman" w:hAnsi="Times New Roman" w:cs="Times New Roman"/>
          <w:sz w:val="24"/>
          <w:szCs w:val="24"/>
          <w:lang w:val="en-US"/>
        </w:rPr>
        <w:t xml:space="preserve"> in higher-risk surgical populations, including cardiac and </w:t>
      </w:r>
      <w:r w:rsidR="002E5240">
        <w:rPr>
          <w:rFonts w:ascii="Times New Roman" w:eastAsia="Times New Roman" w:hAnsi="Times New Roman" w:cs="Times New Roman"/>
          <w:sz w:val="24"/>
          <w:szCs w:val="24"/>
          <w:lang w:val="en-US"/>
        </w:rPr>
        <w:t>spinal surgery, in which</w:t>
      </w:r>
      <w:r w:rsidRPr="1193C325">
        <w:rPr>
          <w:rFonts w:ascii="Times New Roman" w:eastAsia="Times New Roman" w:hAnsi="Times New Roman" w:cs="Times New Roman"/>
          <w:sz w:val="24"/>
          <w:szCs w:val="24"/>
          <w:lang w:val="en-US"/>
        </w:rPr>
        <w:t xml:space="preserve"> </w:t>
      </w:r>
      <w:proofErr w:type="spellStart"/>
      <w:r w:rsidRPr="1193C325">
        <w:rPr>
          <w:rFonts w:ascii="Times New Roman" w:eastAsia="Times New Roman" w:hAnsi="Times New Roman" w:cs="Times New Roman"/>
          <w:sz w:val="24"/>
          <w:szCs w:val="24"/>
          <w:lang w:val="en-US"/>
        </w:rPr>
        <w:t>Lobova</w:t>
      </w:r>
      <w:proofErr w:type="spellEnd"/>
      <w:r w:rsidRPr="1193C325">
        <w:rPr>
          <w:rFonts w:ascii="Times New Roman" w:eastAsia="Times New Roman" w:hAnsi="Times New Roman" w:cs="Times New Roman"/>
          <w:sz w:val="24"/>
          <w:szCs w:val="24"/>
          <w:lang w:val="en-US"/>
        </w:rPr>
        <w:t xml:space="preserve"> et al. (2021) and Rajkovic et al. (2025) found no increase in clinically significant respiratory complications. </w:t>
      </w:r>
      <w:r w:rsidR="002E5240">
        <w:rPr>
          <w:rFonts w:ascii="Times New Roman" w:eastAsia="Times New Roman" w:hAnsi="Times New Roman" w:cs="Times New Roman"/>
          <w:sz w:val="24"/>
          <w:szCs w:val="24"/>
          <w:lang w:val="en-US"/>
        </w:rPr>
        <w:t>The available evidence indicates that</w:t>
      </w:r>
      <w:r w:rsidRPr="1193C325">
        <w:rPr>
          <w:rFonts w:ascii="Times New Roman" w:eastAsia="Times New Roman" w:hAnsi="Times New Roman" w:cs="Times New Roman"/>
          <w:sz w:val="24"/>
          <w:szCs w:val="24"/>
          <w:lang w:val="en-US"/>
        </w:rPr>
        <w:t xml:space="preserve"> methadone’s prolonged half-life does not translate into increased respiratory risk in monitored perioperative settings.</w:t>
      </w:r>
    </w:p>
    <w:p w14:paraId="327E9283" w14:textId="231BCF2B" w:rsidR="23B78A03" w:rsidRDefault="5DBEA8D6" w:rsidP="1193C325">
      <w:pPr>
        <w:spacing w:line="480" w:lineRule="auto"/>
        <w:ind w:firstLine="720"/>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Gastrointestinal and recovery-related outcomes demonstrate</w:t>
      </w:r>
      <w:r w:rsidR="37DB786C" w:rsidRPr="1193C325">
        <w:rPr>
          <w:rFonts w:ascii="Times New Roman" w:eastAsia="Times New Roman" w:hAnsi="Times New Roman" w:cs="Times New Roman"/>
          <w:sz w:val="24"/>
          <w:szCs w:val="24"/>
          <w:lang w:val="en-US"/>
        </w:rPr>
        <w:t>d</w:t>
      </w:r>
      <w:r w:rsidRPr="1193C325">
        <w:rPr>
          <w:rFonts w:ascii="Times New Roman" w:eastAsia="Times New Roman" w:hAnsi="Times New Roman" w:cs="Times New Roman"/>
          <w:sz w:val="24"/>
          <w:szCs w:val="24"/>
          <w:lang w:val="en-US"/>
        </w:rPr>
        <w:t xml:space="preserve"> similar patterns. Pontes et al. (202</w:t>
      </w:r>
      <w:r w:rsidR="00D448BC">
        <w:rPr>
          <w:rFonts w:ascii="Times New Roman" w:eastAsia="Times New Roman" w:hAnsi="Times New Roman" w:cs="Times New Roman"/>
          <w:sz w:val="24"/>
          <w:szCs w:val="24"/>
          <w:lang w:val="en-US"/>
        </w:rPr>
        <w:t>1</w:t>
      </w:r>
      <w:r w:rsidRPr="1193C325">
        <w:rPr>
          <w:rFonts w:ascii="Times New Roman" w:eastAsia="Times New Roman" w:hAnsi="Times New Roman" w:cs="Times New Roman"/>
          <w:sz w:val="24"/>
          <w:szCs w:val="24"/>
          <w:lang w:val="en-US"/>
        </w:rPr>
        <w:t xml:space="preserve">), in a randomized trial of bariatric surgery patients, reported lower rates of PONV while Cata et al. (2024) found no increase in length of stay in a large retrospective breast surgery cohort. Cardiac safety </w:t>
      </w:r>
      <w:r w:rsidR="2F72F852" w:rsidRPr="1193C325">
        <w:rPr>
          <w:rFonts w:ascii="Times New Roman" w:eastAsia="Times New Roman" w:hAnsi="Times New Roman" w:cs="Times New Roman"/>
          <w:sz w:val="24"/>
          <w:szCs w:val="24"/>
          <w:lang w:val="en-US"/>
        </w:rPr>
        <w:t xml:space="preserve">was </w:t>
      </w:r>
      <w:r w:rsidRPr="1193C325">
        <w:rPr>
          <w:rFonts w:ascii="Times New Roman" w:eastAsia="Times New Roman" w:hAnsi="Times New Roman" w:cs="Times New Roman"/>
          <w:sz w:val="24"/>
          <w:szCs w:val="24"/>
          <w:lang w:val="en-US"/>
        </w:rPr>
        <w:t>also evaluated</w:t>
      </w:r>
      <w:r w:rsidR="14DF6504" w:rsidRPr="1193C325">
        <w:rPr>
          <w:rFonts w:ascii="Times New Roman" w:eastAsia="Times New Roman" w:hAnsi="Times New Roman" w:cs="Times New Roman"/>
          <w:sz w:val="24"/>
          <w:szCs w:val="24"/>
          <w:lang w:val="en-US"/>
        </w:rPr>
        <w:t xml:space="preserve">: </w:t>
      </w:r>
      <w:proofErr w:type="spellStart"/>
      <w:r w:rsidRPr="1193C325">
        <w:rPr>
          <w:rFonts w:ascii="Times New Roman" w:eastAsia="Times New Roman" w:hAnsi="Times New Roman" w:cs="Times New Roman"/>
          <w:sz w:val="24"/>
          <w:szCs w:val="24"/>
          <w:lang w:val="en-US"/>
        </w:rPr>
        <w:t>Lobova</w:t>
      </w:r>
      <w:proofErr w:type="spellEnd"/>
      <w:r w:rsidRPr="1193C325">
        <w:rPr>
          <w:rFonts w:ascii="Times New Roman" w:eastAsia="Times New Roman" w:hAnsi="Times New Roman" w:cs="Times New Roman"/>
          <w:sz w:val="24"/>
          <w:szCs w:val="24"/>
          <w:lang w:val="en-US"/>
        </w:rPr>
        <w:t xml:space="preserve"> et al. (2021) and Green et al. (2024) report</w:t>
      </w:r>
      <w:r w:rsidR="57EBBFC5" w:rsidRPr="1193C325">
        <w:rPr>
          <w:rFonts w:ascii="Times New Roman" w:eastAsia="Times New Roman" w:hAnsi="Times New Roman" w:cs="Times New Roman"/>
          <w:sz w:val="24"/>
          <w:szCs w:val="24"/>
          <w:lang w:val="en-US"/>
        </w:rPr>
        <w:t>ed</w:t>
      </w:r>
      <w:r w:rsidRPr="1193C325">
        <w:rPr>
          <w:rFonts w:ascii="Times New Roman" w:eastAsia="Times New Roman" w:hAnsi="Times New Roman" w:cs="Times New Roman"/>
          <w:sz w:val="24"/>
          <w:szCs w:val="24"/>
          <w:lang w:val="en-US"/>
        </w:rPr>
        <w:t xml:space="preserve"> no clinically significant increase in QT prolongation or arrhythmogenic events, even in </w:t>
      </w:r>
      <w:r w:rsidR="6DB5E4BB" w:rsidRPr="1193C325">
        <w:rPr>
          <w:rFonts w:ascii="Times New Roman" w:eastAsia="Times New Roman" w:hAnsi="Times New Roman" w:cs="Times New Roman"/>
          <w:sz w:val="24"/>
          <w:szCs w:val="24"/>
          <w:lang w:val="en-US"/>
        </w:rPr>
        <w:t xml:space="preserve">high-risk </w:t>
      </w:r>
      <w:r w:rsidRPr="1193C325">
        <w:rPr>
          <w:rFonts w:ascii="Times New Roman" w:eastAsia="Times New Roman" w:hAnsi="Times New Roman" w:cs="Times New Roman"/>
          <w:sz w:val="24"/>
          <w:szCs w:val="24"/>
          <w:lang w:val="en-US"/>
        </w:rPr>
        <w:t>p</w:t>
      </w:r>
      <w:r w:rsidR="0F876DA3" w:rsidRPr="1193C325">
        <w:rPr>
          <w:rFonts w:ascii="Times New Roman" w:eastAsia="Times New Roman" w:hAnsi="Times New Roman" w:cs="Times New Roman"/>
          <w:sz w:val="24"/>
          <w:szCs w:val="24"/>
          <w:lang w:val="en-US"/>
        </w:rPr>
        <w:t>atient</w:t>
      </w:r>
      <w:r w:rsidRPr="1193C325">
        <w:rPr>
          <w:rFonts w:ascii="Times New Roman" w:eastAsia="Times New Roman" w:hAnsi="Times New Roman" w:cs="Times New Roman"/>
          <w:sz w:val="24"/>
          <w:szCs w:val="24"/>
          <w:lang w:val="en-US"/>
        </w:rPr>
        <w:t>s</w:t>
      </w:r>
      <w:r w:rsidR="73F3D125" w:rsidRPr="1193C325">
        <w:rPr>
          <w:rFonts w:ascii="Times New Roman" w:eastAsia="Times New Roman" w:hAnsi="Times New Roman" w:cs="Times New Roman"/>
          <w:sz w:val="24"/>
          <w:szCs w:val="24"/>
          <w:lang w:val="en-US"/>
        </w:rPr>
        <w:t xml:space="preserve"> with baseline cardiac dysfunction.</w:t>
      </w:r>
      <w:r w:rsidR="00970B29">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These findings suggest that methadone does not exacerbate common opioid-related adverse effects and may confer advantages in select recovery outcomes.</w:t>
      </w:r>
    </w:p>
    <w:p w14:paraId="5D1BE388" w14:textId="2C4C76E8" w:rsidR="23B78A03" w:rsidRDefault="5DBEA8D6" w:rsidP="1193C325">
      <w:pPr>
        <w:spacing w:line="480" w:lineRule="auto"/>
        <w:ind w:firstLine="720"/>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Despite these reassuring</w:t>
      </w:r>
      <w:r w:rsidR="7A5E601C" w:rsidRPr="1193C325">
        <w:rPr>
          <w:rFonts w:ascii="Times New Roman" w:eastAsia="Times New Roman" w:hAnsi="Times New Roman" w:cs="Times New Roman"/>
          <w:sz w:val="24"/>
          <w:szCs w:val="24"/>
          <w:lang w:val="en-US"/>
        </w:rPr>
        <w:t xml:space="preserve"> safety profile</w:t>
      </w:r>
      <w:r w:rsidRPr="1193C325">
        <w:rPr>
          <w:rFonts w:ascii="Times New Roman" w:eastAsia="Times New Roman" w:hAnsi="Times New Roman" w:cs="Times New Roman"/>
          <w:sz w:val="24"/>
          <w:szCs w:val="24"/>
          <w:lang w:val="en-US"/>
        </w:rPr>
        <w:t xml:space="preserve"> findings, important limitations exist across the literature. </w:t>
      </w:r>
      <w:r w:rsidR="00F318B8">
        <w:rPr>
          <w:rFonts w:ascii="Times New Roman" w:eastAsia="Times New Roman" w:hAnsi="Times New Roman" w:cs="Times New Roman"/>
          <w:sz w:val="24"/>
          <w:szCs w:val="24"/>
          <w:lang w:val="en-US"/>
        </w:rPr>
        <w:t>Clinical heterogeneity</w:t>
      </w:r>
      <w:r w:rsidRPr="1193C325">
        <w:rPr>
          <w:rFonts w:ascii="Times New Roman" w:eastAsia="Times New Roman" w:hAnsi="Times New Roman" w:cs="Times New Roman"/>
          <w:sz w:val="24"/>
          <w:szCs w:val="24"/>
          <w:lang w:val="en-US"/>
        </w:rPr>
        <w:t xml:space="preserve"> in dosing strategies, timing of administration, monitoring practices, and patient populations limi</w:t>
      </w:r>
      <w:r w:rsidR="692CDDAE" w:rsidRPr="1193C325">
        <w:rPr>
          <w:rFonts w:ascii="Times New Roman" w:eastAsia="Times New Roman" w:hAnsi="Times New Roman" w:cs="Times New Roman"/>
          <w:sz w:val="24"/>
          <w:szCs w:val="24"/>
          <w:lang w:val="en-US"/>
        </w:rPr>
        <w:t xml:space="preserve">ts </w:t>
      </w:r>
      <w:r w:rsidRPr="1193C325">
        <w:rPr>
          <w:rFonts w:ascii="Times New Roman" w:eastAsia="Times New Roman" w:hAnsi="Times New Roman" w:cs="Times New Roman"/>
          <w:sz w:val="24"/>
          <w:szCs w:val="24"/>
          <w:lang w:val="en-US"/>
        </w:rPr>
        <w:t>direct comparability between studies. Although induction and later intraoperative administration have not demonstrated increased adverse events (</w:t>
      </w:r>
      <w:r w:rsidR="572F0D01" w:rsidRPr="1193C325">
        <w:rPr>
          <w:rFonts w:ascii="Times New Roman" w:eastAsia="Times New Roman" w:hAnsi="Times New Roman" w:cs="Times New Roman"/>
          <w:sz w:val="24"/>
          <w:szCs w:val="24"/>
          <w:lang w:val="en-US"/>
        </w:rPr>
        <w:t xml:space="preserve">Kharasch et al., 2023; </w:t>
      </w:r>
      <w:r w:rsidRPr="1193C325">
        <w:rPr>
          <w:rFonts w:ascii="Times New Roman" w:eastAsia="Times New Roman" w:hAnsi="Times New Roman" w:cs="Times New Roman"/>
          <w:sz w:val="24"/>
          <w:szCs w:val="24"/>
          <w:lang w:val="en-US"/>
        </w:rPr>
        <w:t>Pontes et al., 202</w:t>
      </w:r>
      <w:r w:rsidR="00D448BC">
        <w:rPr>
          <w:rFonts w:ascii="Times New Roman" w:eastAsia="Times New Roman" w:hAnsi="Times New Roman" w:cs="Times New Roman"/>
          <w:sz w:val="24"/>
          <w:szCs w:val="24"/>
          <w:lang w:val="en-US"/>
        </w:rPr>
        <w:t>1</w:t>
      </w:r>
      <w:r w:rsidRPr="1193C325">
        <w:rPr>
          <w:rFonts w:ascii="Times New Roman" w:eastAsia="Times New Roman" w:hAnsi="Times New Roman" w:cs="Times New Roman"/>
          <w:sz w:val="24"/>
          <w:szCs w:val="24"/>
          <w:lang w:val="en-US"/>
        </w:rPr>
        <w:t xml:space="preserve">; Xie et al., 2025), differences in perioperative management may </w:t>
      </w:r>
      <w:r w:rsidR="619AACFF" w:rsidRPr="1193C325">
        <w:rPr>
          <w:rFonts w:ascii="Times New Roman" w:eastAsia="Times New Roman" w:hAnsi="Times New Roman" w:cs="Times New Roman"/>
          <w:sz w:val="24"/>
          <w:szCs w:val="24"/>
          <w:lang w:val="en-US"/>
        </w:rPr>
        <w:t xml:space="preserve">have </w:t>
      </w:r>
      <w:r w:rsidRPr="1193C325">
        <w:rPr>
          <w:rFonts w:ascii="Times New Roman" w:eastAsia="Times New Roman" w:hAnsi="Times New Roman" w:cs="Times New Roman"/>
          <w:sz w:val="24"/>
          <w:szCs w:val="24"/>
          <w:lang w:val="en-US"/>
        </w:rPr>
        <w:t>influence</w:t>
      </w:r>
      <w:r w:rsidR="481C35BE" w:rsidRPr="1193C325">
        <w:rPr>
          <w:rFonts w:ascii="Times New Roman" w:eastAsia="Times New Roman" w:hAnsi="Times New Roman" w:cs="Times New Roman"/>
          <w:sz w:val="24"/>
          <w:szCs w:val="24"/>
          <w:lang w:val="en-US"/>
        </w:rPr>
        <w:t>d</w:t>
      </w:r>
      <w:r w:rsidR="6D477C4B" w:rsidRPr="1193C325">
        <w:rPr>
          <w:rFonts w:ascii="Times New Roman" w:eastAsia="Times New Roman" w:hAnsi="Times New Roman" w:cs="Times New Roman"/>
          <w:sz w:val="24"/>
          <w:szCs w:val="24"/>
          <w:lang w:val="en-US"/>
        </w:rPr>
        <w:t xml:space="preserve"> complication</w:t>
      </w:r>
      <w:r w:rsidRPr="1193C325">
        <w:rPr>
          <w:rFonts w:ascii="Times New Roman" w:eastAsia="Times New Roman" w:hAnsi="Times New Roman" w:cs="Times New Roman"/>
          <w:sz w:val="24"/>
          <w:szCs w:val="24"/>
          <w:lang w:val="en-US"/>
        </w:rPr>
        <w:t xml:space="preserve"> detection</w:t>
      </w:r>
      <w:r w:rsidR="01179EF9"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 xml:space="preserve">Additionally, many studies </w:t>
      </w:r>
      <w:r w:rsidR="071CC643" w:rsidRPr="1193C325">
        <w:rPr>
          <w:rFonts w:ascii="Times New Roman" w:eastAsia="Times New Roman" w:hAnsi="Times New Roman" w:cs="Times New Roman"/>
          <w:sz w:val="24"/>
          <w:szCs w:val="24"/>
          <w:lang w:val="en-US"/>
        </w:rPr>
        <w:t xml:space="preserve">were </w:t>
      </w:r>
      <w:r w:rsidRPr="1193C325">
        <w:rPr>
          <w:rFonts w:ascii="Times New Roman" w:eastAsia="Times New Roman" w:hAnsi="Times New Roman" w:cs="Times New Roman"/>
          <w:sz w:val="24"/>
          <w:szCs w:val="24"/>
          <w:lang w:val="en-US"/>
        </w:rPr>
        <w:t xml:space="preserve">underpowered to identify rare but serious adverse events, such as arrhythmias or delayed </w:t>
      </w:r>
      <w:r w:rsidRPr="1193C325">
        <w:rPr>
          <w:rFonts w:ascii="Times New Roman" w:eastAsia="Times New Roman" w:hAnsi="Times New Roman" w:cs="Times New Roman"/>
          <w:sz w:val="24"/>
          <w:szCs w:val="24"/>
          <w:lang w:val="en-US"/>
        </w:rPr>
        <w:lastRenderedPageBreak/>
        <w:t>respiratory depression, particularly in randomized trials with smaller sample sizes (</w:t>
      </w:r>
      <w:r w:rsidR="768C3215" w:rsidRPr="1193C325">
        <w:rPr>
          <w:rFonts w:ascii="Times New Roman" w:eastAsia="Times New Roman" w:hAnsi="Times New Roman" w:cs="Times New Roman"/>
          <w:sz w:val="24"/>
          <w:szCs w:val="24"/>
          <w:lang w:val="en-US"/>
        </w:rPr>
        <w:t>Arriaza et al., 202</w:t>
      </w:r>
      <w:r w:rsidR="006A08E6">
        <w:rPr>
          <w:rFonts w:ascii="Times New Roman" w:eastAsia="Times New Roman" w:hAnsi="Times New Roman" w:cs="Times New Roman"/>
          <w:sz w:val="24"/>
          <w:szCs w:val="24"/>
          <w:lang w:val="en-US"/>
        </w:rPr>
        <w:t>1</w:t>
      </w:r>
      <w:r w:rsidR="768C3215" w:rsidRPr="1193C325">
        <w:rPr>
          <w:rFonts w:ascii="Times New Roman" w:eastAsia="Times New Roman" w:hAnsi="Times New Roman" w:cs="Times New Roman"/>
          <w:sz w:val="24"/>
          <w:szCs w:val="24"/>
          <w:lang w:val="en-US"/>
        </w:rPr>
        <w:t xml:space="preserve">; Kendall et al., 2020; </w:t>
      </w:r>
      <w:r w:rsidRPr="1193C325">
        <w:rPr>
          <w:rFonts w:ascii="Times New Roman" w:eastAsia="Times New Roman" w:hAnsi="Times New Roman" w:cs="Times New Roman"/>
          <w:sz w:val="24"/>
          <w:szCs w:val="24"/>
          <w:lang w:val="en-US"/>
        </w:rPr>
        <w:t>Murphy et al., 2021). Overall, the literature demonstrate</w:t>
      </w:r>
      <w:r w:rsidR="5CA289ED" w:rsidRPr="1193C325">
        <w:rPr>
          <w:rFonts w:ascii="Times New Roman" w:eastAsia="Times New Roman" w:hAnsi="Times New Roman" w:cs="Times New Roman"/>
          <w:sz w:val="24"/>
          <w:szCs w:val="24"/>
          <w:lang w:val="en-US"/>
        </w:rPr>
        <w:t>s</w:t>
      </w:r>
      <w:r w:rsidRPr="1193C325">
        <w:rPr>
          <w:rFonts w:ascii="Times New Roman" w:eastAsia="Times New Roman" w:hAnsi="Times New Roman" w:cs="Times New Roman"/>
          <w:sz w:val="24"/>
          <w:szCs w:val="24"/>
          <w:lang w:val="en-US"/>
        </w:rPr>
        <w:t xml:space="preserve"> that intraoperative methadone has a safety profile comparable to short-acting opioids across multiple domains, while also highlighting that variability in study design and </w:t>
      </w:r>
      <w:r w:rsidR="795D8FC6" w:rsidRPr="1193C325">
        <w:rPr>
          <w:rFonts w:ascii="Times New Roman" w:eastAsia="Times New Roman" w:hAnsi="Times New Roman" w:cs="Times New Roman"/>
          <w:sz w:val="24"/>
          <w:szCs w:val="24"/>
          <w:lang w:val="en-US"/>
        </w:rPr>
        <w:t xml:space="preserve">the </w:t>
      </w:r>
      <w:r w:rsidRPr="1193C325">
        <w:rPr>
          <w:rFonts w:ascii="Times New Roman" w:eastAsia="Times New Roman" w:hAnsi="Times New Roman" w:cs="Times New Roman"/>
          <w:sz w:val="24"/>
          <w:szCs w:val="24"/>
          <w:lang w:val="en-US"/>
        </w:rPr>
        <w:t>limited detection of rare events warrant continued clinical caution and patient-specific risk assessment</w:t>
      </w:r>
      <w:r w:rsidR="5780F63F" w:rsidRPr="1193C325">
        <w:rPr>
          <w:rFonts w:ascii="Times New Roman" w:eastAsia="Times New Roman" w:hAnsi="Times New Roman" w:cs="Times New Roman"/>
          <w:sz w:val="24"/>
          <w:szCs w:val="24"/>
          <w:lang w:val="en-US"/>
        </w:rPr>
        <w:t xml:space="preserve">. </w:t>
      </w:r>
    </w:p>
    <w:p w14:paraId="5380F23A" w14:textId="3BBD7FFF" w:rsidR="23B78A03" w:rsidRDefault="5DBEA8D6" w:rsidP="38688B0C">
      <w:pPr>
        <w:spacing w:line="480" w:lineRule="auto"/>
        <w:contextualSpacing/>
        <w:rPr>
          <w:rFonts w:ascii="Times New Roman" w:eastAsia="Times New Roman" w:hAnsi="Times New Roman" w:cs="Times New Roman"/>
          <w:b/>
          <w:bCs/>
          <w:color w:val="000000" w:themeColor="text1"/>
          <w:sz w:val="24"/>
          <w:szCs w:val="24"/>
          <w:lang w:val="en-US"/>
        </w:rPr>
      </w:pPr>
      <w:r w:rsidRPr="38688B0C">
        <w:rPr>
          <w:rFonts w:ascii="Times New Roman" w:eastAsia="Times New Roman" w:hAnsi="Times New Roman" w:cs="Times New Roman"/>
          <w:b/>
          <w:bCs/>
          <w:color w:val="000000" w:themeColor="text1"/>
          <w:sz w:val="24"/>
          <w:szCs w:val="24"/>
          <w:lang w:val="en-US"/>
        </w:rPr>
        <w:t>Determinants of Variability in Clinical Outcomes</w:t>
      </w:r>
    </w:p>
    <w:p w14:paraId="7FF54826" w14:textId="22AE8C0D" w:rsidR="5DBEA8D6" w:rsidRDefault="03A28455" w:rsidP="1193C325">
      <w:pPr>
        <w:spacing w:line="480" w:lineRule="auto"/>
        <w:ind w:firstLine="720"/>
        <w:rPr>
          <w:rFonts w:ascii="Times New Roman" w:eastAsia="Times New Roman" w:hAnsi="Times New Roman" w:cs="Times New Roman"/>
          <w:color w:val="000000" w:themeColor="text1"/>
          <w:sz w:val="24"/>
          <w:szCs w:val="24"/>
          <w:lang w:val="en-US"/>
        </w:rPr>
      </w:pPr>
      <w:r w:rsidRPr="0320F0AF">
        <w:rPr>
          <w:rFonts w:ascii="Times New Roman" w:eastAsia="Times New Roman" w:hAnsi="Times New Roman" w:cs="Times New Roman"/>
          <w:color w:val="000000" w:themeColor="text1"/>
          <w:sz w:val="24"/>
          <w:szCs w:val="24"/>
          <w:lang w:val="en-US"/>
        </w:rPr>
        <w:t>Varia</w:t>
      </w:r>
      <w:r w:rsidR="0E7E17FF" w:rsidRPr="0320F0AF">
        <w:rPr>
          <w:rFonts w:ascii="Times New Roman" w:eastAsia="Times New Roman" w:hAnsi="Times New Roman" w:cs="Times New Roman"/>
          <w:color w:val="000000" w:themeColor="text1"/>
          <w:sz w:val="24"/>
          <w:szCs w:val="24"/>
          <w:lang w:val="en-US"/>
        </w:rPr>
        <w:t>tion</w:t>
      </w:r>
      <w:r w:rsidRPr="0320F0AF">
        <w:rPr>
          <w:rFonts w:ascii="Times New Roman" w:eastAsia="Times New Roman" w:hAnsi="Times New Roman" w:cs="Times New Roman"/>
          <w:color w:val="000000" w:themeColor="text1"/>
          <w:sz w:val="24"/>
          <w:szCs w:val="24"/>
          <w:lang w:val="en-US"/>
        </w:rPr>
        <w:t xml:space="preserve"> in postoperative pain and opioid consumption outcomes across the included studies was multifactorial, reflecting differences in dosing strategies, surgical complexity, patient characteristics, and perioperative management. Although</w:t>
      </w:r>
      <w:r w:rsidR="1EDB4073" w:rsidRPr="0320F0AF">
        <w:rPr>
          <w:rFonts w:ascii="Times New Roman" w:eastAsia="Times New Roman" w:hAnsi="Times New Roman" w:cs="Times New Roman"/>
          <w:color w:val="000000" w:themeColor="text1"/>
          <w:sz w:val="24"/>
          <w:szCs w:val="24"/>
          <w:lang w:val="en-US"/>
        </w:rPr>
        <w:t xml:space="preserve"> the direction of</w:t>
      </w:r>
      <w:r w:rsidRPr="0320F0AF">
        <w:rPr>
          <w:rFonts w:ascii="Times New Roman" w:eastAsia="Times New Roman" w:hAnsi="Times New Roman" w:cs="Times New Roman"/>
          <w:color w:val="000000" w:themeColor="text1"/>
          <w:sz w:val="24"/>
          <w:szCs w:val="24"/>
          <w:lang w:val="en-US"/>
        </w:rPr>
        <w:t xml:space="preserve"> findings w</w:t>
      </w:r>
      <w:r w:rsidR="1EDB4073" w:rsidRPr="0320F0AF">
        <w:rPr>
          <w:rFonts w:ascii="Times New Roman" w:eastAsia="Times New Roman" w:hAnsi="Times New Roman" w:cs="Times New Roman"/>
          <w:color w:val="000000" w:themeColor="text1"/>
          <w:sz w:val="24"/>
          <w:szCs w:val="24"/>
          <w:lang w:val="en-US"/>
        </w:rPr>
        <w:t>as</w:t>
      </w:r>
      <w:r w:rsidRPr="0320F0AF">
        <w:rPr>
          <w:rFonts w:ascii="Times New Roman" w:eastAsia="Times New Roman" w:hAnsi="Times New Roman" w:cs="Times New Roman"/>
          <w:color w:val="000000" w:themeColor="text1"/>
          <w:sz w:val="24"/>
          <w:szCs w:val="24"/>
          <w:lang w:val="en-US"/>
        </w:rPr>
        <w:t xml:space="preserve"> consistent across studies, with most demonstrating improved analgesia and reduced opioid requirements, </w:t>
      </w:r>
      <w:r w:rsidR="0E2A4E71" w:rsidRPr="0320F0AF">
        <w:rPr>
          <w:rFonts w:ascii="Times New Roman" w:eastAsia="Times New Roman" w:hAnsi="Times New Roman" w:cs="Times New Roman"/>
          <w:color w:val="000000" w:themeColor="text1"/>
          <w:sz w:val="24"/>
          <w:szCs w:val="24"/>
          <w:lang w:val="en-US"/>
        </w:rPr>
        <w:t>some high-quality randomized trials reported neutral findings. For example, Uhrbrand et al. (2025) found no significant difference in opioid consumption following lumbar fusion surgery, despite comparable dosing and study design. These discrepancies further support th</w:t>
      </w:r>
      <w:r w:rsidR="64ED64A5" w:rsidRPr="0320F0AF">
        <w:rPr>
          <w:rFonts w:ascii="Times New Roman" w:eastAsia="Times New Roman" w:hAnsi="Times New Roman" w:cs="Times New Roman"/>
          <w:color w:val="000000" w:themeColor="text1"/>
          <w:sz w:val="24"/>
          <w:szCs w:val="24"/>
          <w:lang w:val="en-US"/>
        </w:rPr>
        <w:t>e conclusion</w:t>
      </w:r>
      <w:r w:rsidR="0E2A4E71" w:rsidRPr="0320F0AF">
        <w:rPr>
          <w:rFonts w:ascii="Times New Roman" w:eastAsia="Times New Roman" w:hAnsi="Times New Roman" w:cs="Times New Roman"/>
          <w:color w:val="000000" w:themeColor="text1"/>
          <w:sz w:val="24"/>
          <w:szCs w:val="24"/>
          <w:lang w:val="en-US"/>
        </w:rPr>
        <w:t xml:space="preserve"> </w:t>
      </w:r>
      <w:r w:rsidR="046B384D" w:rsidRPr="0320F0AF">
        <w:rPr>
          <w:rFonts w:ascii="Times New Roman" w:eastAsia="Times New Roman" w:hAnsi="Times New Roman" w:cs="Times New Roman"/>
          <w:color w:val="000000" w:themeColor="text1"/>
          <w:sz w:val="24"/>
          <w:szCs w:val="24"/>
          <w:lang w:val="en-US"/>
        </w:rPr>
        <w:t>that</w:t>
      </w:r>
      <w:r w:rsidR="0E2A4E71" w:rsidRPr="0320F0AF">
        <w:rPr>
          <w:rFonts w:ascii="Times New Roman" w:eastAsia="Times New Roman" w:hAnsi="Times New Roman" w:cs="Times New Roman"/>
          <w:color w:val="000000" w:themeColor="text1"/>
          <w:sz w:val="24"/>
          <w:szCs w:val="24"/>
          <w:lang w:val="en-US"/>
        </w:rPr>
        <w:t xml:space="preserve"> clinical outcomes </w:t>
      </w:r>
      <w:r w:rsidR="17B92AE0" w:rsidRPr="0320F0AF">
        <w:rPr>
          <w:rFonts w:ascii="Times New Roman" w:eastAsia="Times New Roman" w:hAnsi="Times New Roman" w:cs="Times New Roman"/>
          <w:color w:val="000000" w:themeColor="text1"/>
          <w:sz w:val="24"/>
          <w:szCs w:val="24"/>
          <w:lang w:val="en-US"/>
        </w:rPr>
        <w:t>are</w:t>
      </w:r>
      <w:r w:rsidR="0E2A4E71" w:rsidRPr="0320F0AF">
        <w:rPr>
          <w:rFonts w:ascii="Times New Roman" w:eastAsia="Times New Roman" w:hAnsi="Times New Roman" w:cs="Times New Roman"/>
          <w:color w:val="000000" w:themeColor="text1"/>
          <w:sz w:val="24"/>
          <w:szCs w:val="24"/>
          <w:lang w:val="en-US"/>
        </w:rPr>
        <w:t xml:space="preserve"> driven by procedural intensity, analgesic protocols, and methodological differences rather than a lack of pharmacologic efficacy.</w:t>
      </w:r>
    </w:p>
    <w:p w14:paraId="2B2F6180" w14:textId="00E930C5" w:rsidR="23B78A03" w:rsidRDefault="59F7DE96" w:rsidP="0320F0AF">
      <w:pPr>
        <w:spacing w:line="480" w:lineRule="auto"/>
        <w:ind w:firstLine="720"/>
        <w:contextualSpacing/>
        <w:rPr>
          <w:rFonts w:ascii="Times New Roman" w:eastAsia="Times New Roman" w:hAnsi="Times New Roman" w:cs="Times New Roman"/>
          <w:color w:val="000000" w:themeColor="text1"/>
          <w:sz w:val="24"/>
          <w:szCs w:val="24"/>
          <w:lang w:val="en-US"/>
        </w:rPr>
      </w:pPr>
      <w:r w:rsidRPr="0320F0AF">
        <w:rPr>
          <w:rFonts w:ascii="Times New Roman" w:eastAsia="Times New Roman" w:hAnsi="Times New Roman" w:cs="Times New Roman"/>
          <w:color w:val="000000" w:themeColor="text1"/>
          <w:sz w:val="24"/>
          <w:szCs w:val="24"/>
          <w:lang w:val="en-US"/>
        </w:rPr>
        <w:t xml:space="preserve">One of the most consistently identified determinants of </w:t>
      </w:r>
      <w:r w:rsidR="7226F089" w:rsidRPr="0320F0AF">
        <w:rPr>
          <w:rFonts w:ascii="Times New Roman" w:eastAsia="Times New Roman" w:hAnsi="Times New Roman" w:cs="Times New Roman"/>
          <w:color w:val="000000" w:themeColor="text1"/>
          <w:sz w:val="24"/>
          <w:szCs w:val="24"/>
          <w:lang w:val="en-US"/>
        </w:rPr>
        <w:t>differences in clinical effect</w:t>
      </w:r>
      <w:r w:rsidRPr="0320F0AF">
        <w:rPr>
          <w:rFonts w:ascii="Times New Roman" w:eastAsia="Times New Roman" w:hAnsi="Times New Roman" w:cs="Times New Roman"/>
          <w:color w:val="000000" w:themeColor="text1"/>
          <w:sz w:val="24"/>
          <w:szCs w:val="24"/>
          <w:lang w:val="en-US"/>
        </w:rPr>
        <w:t xml:space="preserve"> </w:t>
      </w:r>
      <w:r w:rsidR="08C24D7A" w:rsidRPr="0320F0AF">
        <w:rPr>
          <w:rFonts w:ascii="Times New Roman" w:eastAsia="Times New Roman" w:hAnsi="Times New Roman" w:cs="Times New Roman"/>
          <w:color w:val="000000" w:themeColor="text1"/>
          <w:sz w:val="24"/>
          <w:szCs w:val="24"/>
          <w:lang w:val="en-US"/>
        </w:rPr>
        <w:t>wa</w:t>
      </w:r>
      <w:r w:rsidRPr="0320F0AF">
        <w:rPr>
          <w:rFonts w:ascii="Times New Roman" w:eastAsia="Times New Roman" w:hAnsi="Times New Roman" w:cs="Times New Roman"/>
          <w:color w:val="000000" w:themeColor="text1"/>
          <w:sz w:val="24"/>
          <w:szCs w:val="24"/>
          <w:lang w:val="en-US"/>
        </w:rPr>
        <w:t xml:space="preserve">s the dosing strategy. Across randomized controlled trials and systematic reviews, higher weight-based doses (approximately 0.2–0.25 mg/kg) </w:t>
      </w:r>
      <w:r w:rsidR="5058385D" w:rsidRPr="0320F0AF">
        <w:rPr>
          <w:rFonts w:ascii="Times New Roman" w:eastAsia="Times New Roman" w:hAnsi="Times New Roman" w:cs="Times New Roman"/>
          <w:color w:val="000000" w:themeColor="text1"/>
          <w:sz w:val="24"/>
          <w:szCs w:val="24"/>
          <w:lang w:val="en-US"/>
        </w:rPr>
        <w:t>we</w:t>
      </w:r>
      <w:r w:rsidRPr="0320F0AF">
        <w:rPr>
          <w:rFonts w:ascii="Times New Roman" w:eastAsia="Times New Roman" w:hAnsi="Times New Roman" w:cs="Times New Roman"/>
          <w:color w:val="000000" w:themeColor="text1"/>
          <w:sz w:val="24"/>
          <w:szCs w:val="24"/>
          <w:lang w:val="en-US"/>
        </w:rPr>
        <w:t>re associated with more pronounced and sustained reductions in postoperative pain and opioid consumption, whereas lower doses (≤0.1 mg/kg) demonstrate attenuated or inconsistent effects</w:t>
      </w:r>
      <w:r w:rsidR="262255C4" w:rsidRPr="0320F0AF">
        <w:rPr>
          <w:rFonts w:ascii="Times New Roman" w:eastAsia="Times New Roman" w:hAnsi="Times New Roman" w:cs="Times New Roman"/>
          <w:color w:val="000000" w:themeColor="text1"/>
          <w:sz w:val="24"/>
          <w:szCs w:val="24"/>
          <w:lang w:val="en-US"/>
        </w:rPr>
        <w:t xml:space="preserve"> (Kharasch et al., 2023)</w:t>
      </w:r>
      <w:r w:rsidRPr="0320F0AF">
        <w:rPr>
          <w:rFonts w:ascii="Times New Roman" w:eastAsia="Times New Roman" w:hAnsi="Times New Roman" w:cs="Times New Roman"/>
          <w:color w:val="000000" w:themeColor="text1"/>
          <w:sz w:val="24"/>
          <w:szCs w:val="24"/>
          <w:lang w:val="en-US"/>
        </w:rPr>
        <w:t xml:space="preserve">. </w:t>
      </w:r>
      <w:r w:rsidR="4061A3A4" w:rsidRPr="0320F0AF">
        <w:rPr>
          <w:rFonts w:ascii="Times New Roman" w:eastAsia="Times New Roman" w:hAnsi="Times New Roman" w:cs="Times New Roman"/>
          <w:color w:val="000000" w:themeColor="text1"/>
          <w:sz w:val="24"/>
          <w:szCs w:val="24"/>
          <w:lang w:val="en-US"/>
        </w:rPr>
        <w:t>Conversely, Arriaza et al. (2021) found doses as low as 0.08</w:t>
      </w:r>
      <w:r w:rsidR="36A97648" w:rsidRPr="0320F0AF">
        <w:rPr>
          <w:rFonts w:ascii="Times New Roman" w:eastAsia="Times New Roman" w:hAnsi="Times New Roman" w:cs="Times New Roman"/>
          <w:color w:val="000000" w:themeColor="text1"/>
          <w:sz w:val="24"/>
          <w:szCs w:val="24"/>
          <w:lang w:val="en-US"/>
        </w:rPr>
        <w:t xml:space="preserve"> </w:t>
      </w:r>
      <w:r w:rsidR="4061A3A4" w:rsidRPr="0320F0AF">
        <w:rPr>
          <w:rFonts w:ascii="Times New Roman" w:eastAsia="Times New Roman" w:hAnsi="Times New Roman" w:cs="Times New Roman"/>
          <w:color w:val="000000" w:themeColor="text1"/>
          <w:sz w:val="24"/>
          <w:szCs w:val="24"/>
          <w:lang w:val="en-US"/>
        </w:rPr>
        <w:t xml:space="preserve">mg/kg improved pain control and reduced opioid consumption. </w:t>
      </w:r>
      <w:r w:rsidRPr="0320F0AF">
        <w:rPr>
          <w:rFonts w:ascii="Times New Roman" w:eastAsia="Times New Roman" w:hAnsi="Times New Roman" w:cs="Times New Roman"/>
          <w:color w:val="000000" w:themeColor="text1"/>
          <w:sz w:val="24"/>
          <w:szCs w:val="24"/>
          <w:lang w:val="en-US"/>
        </w:rPr>
        <w:t xml:space="preserve">Kharasch et al. (2023) demonstrated a dose-dependent reduction in postoperative opioid requirements in a randomized, dose-finding study, supporting a direct relationship </w:t>
      </w:r>
      <w:r w:rsidRPr="0320F0AF">
        <w:rPr>
          <w:rFonts w:ascii="Times New Roman" w:eastAsia="Times New Roman" w:hAnsi="Times New Roman" w:cs="Times New Roman"/>
          <w:color w:val="000000" w:themeColor="text1"/>
          <w:sz w:val="24"/>
          <w:szCs w:val="24"/>
          <w:lang w:val="en-US"/>
        </w:rPr>
        <w:lastRenderedPageBreak/>
        <w:t xml:space="preserve">between dosing and clinical effect. Similar patterns were described by Laguado et al. (2025) and Rajkovic et al. (2025), who reported diminished analgesic benefit in studies using lower-dosing strategies. </w:t>
      </w:r>
      <w:r w:rsidR="3BD70616" w:rsidRPr="0320F0AF">
        <w:rPr>
          <w:rFonts w:ascii="Times New Roman" w:eastAsia="Times New Roman" w:hAnsi="Times New Roman" w:cs="Times New Roman"/>
          <w:color w:val="000000" w:themeColor="text1"/>
          <w:sz w:val="24"/>
          <w:szCs w:val="24"/>
          <w:lang w:val="en-US"/>
        </w:rPr>
        <w:t>The literature supports</w:t>
      </w:r>
      <w:r w:rsidRPr="0320F0AF">
        <w:rPr>
          <w:rFonts w:ascii="Times New Roman" w:eastAsia="Times New Roman" w:hAnsi="Times New Roman" w:cs="Times New Roman"/>
          <w:color w:val="000000" w:themeColor="text1"/>
          <w:sz w:val="24"/>
          <w:szCs w:val="24"/>
          <w:lang w:val="en-US"/>
        </w:rPr>
        <w:t xml:space="preserve"> that </w:t>
      </w:r>
      <w:r w:rsidR="7226F089" w:rsidRPr="0320F0AF">
        <w:rPr>
          <w:rFonts w:ascii="Times New Roman" w:eastAsia="Times New Roman" w:hAnsi="Times New Roman" w:cs="Times New Roman"/>
          <w:color w:val="000000" w:themeColor="text1"/>
          <w:sz w:val="24"/>
          <w:szCs w:val="24"/>
          <w:lang w:val="en-US"/>
        </w:rPr>
        <w:t>differences</w:t>
      </w:r>
      <w:r w:rsidRPr="0320F0AF">
        <w:rPr>
          <w:rFonts w:ascii="Times New Roman" w:eastAsia="Times New Roman" w:hAnsi="Times New Roman" w:cs="Times New Roman"/>
          <w:color w:val="000000" w:themeColor="text1"/>
          <w:sz w:val="24"/>
          <w:szCs w:val="24"/>
          <w:lang w:val="en-US"/>
        </w:rPr>
        <w:t xml:space="preserve"> across studies </w:t>
      </w:r>
      <w:r w:rsidR="3BD70616" w:rsidRPr="0320F0AF">
        <w:rPr>
          <w:rFonts w:ascii="Times New Roman" w:eastAsia="Times New Roman" w:hAnsi="Times New Roman" w:cs="Times New Roman"/>
          <w:color w:val="000000" w:themeColor="text1"/>
          <w:sz w:val="24"/>
          <w:szCs w:val="24"/>
          <w:lang w:val="en-US"/>
        </w:rPr>
        <w:t>were</w:t>
      </w:r>
      <w:r w:rsidRPr="0320F0AF">
        <w:rPr>
          <w:rFonts w:ascii="Times New Roman" w:eastAsia="Times New Roman" w:hAnsi="Times New Roman" w:cs="Times New Roman"/>
          <w:color w:val="000000" w:themeColor="text1"/>
          <w:sz w:val="24"/>
          <w:szCs w:val="24"/>
          <w:lang w:val="en-US"/>
        </w:rPr>
        <w:t xml:space="preserve"> frequently driven by subtherapeutic dosing rather than a lack of intrinsic analgesic efficacy.</w:t>
      </w:r>
    </w:p>
    <w:p w14:paraId="30BDBBAA" w14:textId="5CE9E56A" w:rsidR="23B78A03" w:rsidRDefault="5DBEA8D6" w:rsidP="1193C325">
      <w:pPr>
        <w:spacing w:line="480" w:lineRule="auto"/>
        <w:ind w:firstLine="720"/>
        <w:contextualSpacing/>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Surgical type and procedural complexity also contribute</w:t>
      </w:r>
      <w:r w:rsidR="69DB4D08"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significantly to variability in outcomes. Greater analgesic benefit is consistently observed in high-intensity procedures, such as cardiac and spine surgeries, where pain burden is predict</w:t>
      </w:r>
      <w:r w:rsidR="7D2BC872" w:rsidRPr="1193C325">
        <w:rPr>
          <w:rFonts w:ascii="Times New Roman" w:eastAsia="Times New Roman" w:hAnsi="Times New Roman" w:cs="Times New Roman"/>
          <w:color w:val="000000" w:themeColor="text1"/>
          <w:sz w:val="24"/>
          <w:szCs w:val="24"/>
          <w:lang w:val="en-US"/>
        </w:rPr>
        <w:t xml:space="preserve">ably </w:t>
      </w:r>
      <w:r w:rsidRPr="1193C325">
        <w:rPr>
          <w:rFonts w:ascii="Times New Roman" w:eastAsia="Times New Roman" w:hAnsi="Times New Roman" w:cs="Times New Roman"/>
          <w:color w:val="000000" w:themeColor="text1"/>
          <w:sz w:val="24"/>
          <w:szCs w:val="24"/>
          <w:lang w:val="en-US"/>
        </w:rPr>
        <w:t xml:space="preserve">higher. Murphy et al. (2021), in a randomized trial of spine surgery patients, demonstrated sustained reductions in pain and opioid requirements, while </w:t>
      </w:r>
      <w:proofErr w:type="spellStart"/>
      <w:r w:rsidRPr="1193C325">
        <w:rPr>
          <w:rFonts w:ascii="Times New Roman" w:eastAsia="Times New Roman" w:hAnsi="Times New Roman" w:cs="Times New Roman"/>
          <w:color w:val="000000" w:themeColor="text1"/>
          <w:sz w:val="24"/>
          <w:szCs w:val="24"/>
          <w:lang w:val="en-US"/>
        </w:rPr>
        <w:t>Lobova</w:t>
      </w:r>
      <w:proofErr w:type="spellEnd"/>
      <w:r w:rsidRPr="1193C325">
        <w:rPr>
          <w:rFonts w:ascii="Times New Roman" w:eastAsia="Times New Roman" w:hAnsi="Times New Roman" w:cs="Times New Roman"/>
          <w:color w:val="000000" w:themeColor="text1"/>
          <w:sz w:val="24"/>
          <w:szCs w:val="24"/>
          <w:lang w:val="en-US"/>
        </w:rPr>
        <w:t xml:space="preserve"> et al. (2021) reported similar findings in cardiac surgery populations. In contrast, ambulatory and minimally invasive procedures demonstrate</w:t>
      </w:r>
      <w:r w:rsidR="6520036F"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smaller, though still measurable, reductions in pain and opioid consumption, as reported by Arriaza et al. (2021) and Green et al. (2024). This clustering of effect by surgical intensity suggests that methadone’s clinical impact is amplified in settings with higher postoperative analgesic demand.</w:t>
      </w:r>
    </w:p>
    <w:p w14:paraId="57E4E843" w14:textId="6B5CDEAE" w:rsidR="23B78A03" w:rsidRDefault="5DBEA8D6" w:rsidP="1193C325">
      <w:pPr>
        <w:spacing w:line="480" w:lineRule="auto"/>
        <w:ind w:firstLine="720"/>
        <w:contextualSpacing/>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Perioperative analgesic strategies further influence</w:t>
      </w:r>
      <w:r w:rsidR="4A5A853F"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w:t>
      </w:r>
      <w:r w:rsidR="001A325D">
        <w:rPr>
          <w:rFonts w:ascii="Times New Roman" w:eastAsia="Times New Roman" w:hAnsi="Times New Roman" w:cs="Times New Roman"/>
          <w:color w:val="000000" w:themeColor="text1"/>
          <w:sz w:val="24"/>
          <w:szCs w:val="24"/>
          <w:lang w:val="en-US"/>
        </w:rPr>
        <w:t>context-dependent differences in outcomes,</w:t>
      </w:r>
      <w:r w:rsidRPr="1193C325">
        <w:rPr>
          <w:rFonts w:ascii="Times New Roman" w:eastAsia="Times New Roman" w:hAnsi="Times New Roman" w:cs="Times New Roman"/>
          <w:color w:val="000000" w:themeColor="text1"/>
          <w:sz w:val="24"/>
          <w:szCs w:val="24"/>
          <w:lang w:val="en-US"/>
        </w:rPr>
        <w:t xml:space="preserve"> particularly </w:t>
      </w:r>
      <w:bookmarkStart w:id="1" w:name="_Int_VtZh1QFK"/>
      <w:proofErr w:type="gramStart"/>
      <w:r w:rsidRPr="1193C325">
        <w:rPr>
          <w:rFonts w:ascii="Times New Roman" w:eastAsia="Times New Roman" w:hAnsi="Times New Roman" w:cs="Times New Roman"/>
          <w:color w:val="000000" w:themeColor="text1"/>
          <w:sz w:val="24"/>
          <w:szCs w:val="24"/>
          <w:lang w:val="en-US"/>
        </w:rPr>
        <w:t>through the use of</w:t>
      </w:r>
      <w:bookmarkEnd w:id="1"/>
      <w:proofErr w:type="gramEnd"/>
      <w:r w:rsidRPr="1193C325">
        <w:rPr>
          <w:rFonts w:ascii="Times New Roman" w:eastAsia="Times New Roman" w:hAnsi="Times New Roman" w:cs="Times New Roman"/>
          <w:color w:val="000000" w:themeColor="text1"/>
          <w:sz w:val="24"/>
          <w:szCs w:val="24"/>
          <w:lang w:val="en-US"/>
        </w:rPr>
        <w:t xml:space="preserve"> multimodal adjuncts and enhanced recovery after surgery (ERAS) protocols. Studies incorporating standardized multimodal regimens, including adjuncts such as ketamine, frequently demonstrate</w:t>
      </w:r>
      <w:r w:rsidR="2B112282"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enhanced analgesic outcomes and greater opioid-sparing effects. For example, Murphy et al. (2021) reported improved analgesia when methadone was combined with ketamine in spine surgery patients, while Bernstein et al. (2025) demonstrated enhanced recovery outcomes within an ERAS-based breast reconstruction pathway. In contrast, variability in adjunct utilization, anesthetic technique, and postoperative prescribing practices introduce</w:t>
      </w:r>
      <w:r w:rsidR="233E9D49"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heterogeneity that limits direct comparison across studies and may obscure the isolated effect of methadone.</w:t>
      </w:r>
    </w:p>
    <w:p w14:paraId="20263774" w14:textId="431AD3DB" w:rsidR="23B78A03" w:rsidRDefault="5DBEA8D6" w:rsidP="1193C325">
      <w:pPr>
        <w:spacing w:line="480" w:lineRule="auto"/>
        <w:ind w:firstLine="720"/>
        <w:contextualSpacing/>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lastRenderedPageBreak/>
        <w:t xml:space="preserve">Patient-specific factors represent another important source of </w:t>
      </w:r>
      <w:r w:rsidR="001A325D">
        <w:rPr>
          <w:rFonts w:ascii="Times New Roman" w:eastAsia="Times New Roman" w:hAnsi="Times New Roman" w:cs="Times New Roman"/>
          <w:color w:val="000000" w:themeColor="text1"/>
          <w:sz w:val="24"/>
          <w:szCs w:val="24"/>
          <w:lang w:val="en-US"/>
        </w:rPr>
        <w:t>clinical heterogeneity</w:t>
      </w:r>
      <w:r w:rsidRPr="1193C325">
        <w:rPr>
          <w:rFonts w:ascii="Times New Roman" w:eastAsia="Times New Roman" w:hAnsi="Times New Roman" w:cs="Times New Roman"/>
          <w:color w:val="000000" w:themeColor="text1"/>
          <w:sz w:val="24"/>
          <w:szCs w:val="24"/>
          <w:lang w:val="en-US"/>
        </w:rPr>
        <w:t xml:space="preserve">. Baseline opioid tolerance, comorbid conditions, and pharmacokinetic variability </w:t>
      </w:r>
      <w:r w:rsidR="44EF0001" w:rsidRPr="1193C325">
        <w:rPr>
          <w:rFonts w:ascii="Times New Roman" w:eastAsia="Times New Roman" w:hAnsi="Times New Roman" w:cs="Times New Roman"/>
          <w:color w:val="000000" w:themeColor="text1"/>
          <w:sz w:val="24"/>
          <w:szCs w:val="24"/>
          <w:lang w:val="en-US"/>
        </w:rPr>
        <w:t>could influence</w:t>
      </w:r>
      <w:r w:rsidRPr="1193C325">
        <w:rPr>
          <w:rFonts w:ascii="Times New Roman" w:eastAsia="Times New Roman" w:hAnsi="Times New Roman" w:cs="Times New Roman"/>
          <w:color w:val="000000" w:themeColor="text1"/>
          <w:sz w:val="24"/>
          <w:szCs w:val="24"/>
          <w:lang w:val="en-US"/>
        </w:rPr>
        <w:t xml:space="preserve"> both analgesic response and safety outcome</w:t>
      </w:r>
      <w:r w:rsidR="15AD8A16" w:rsidRPr="1193C325">
        <w:rPr>
          <w:rFonts w:ascii="Times New Roman" w:eastAsia="Times New Roman" w:hAnsi="Times New Roman" w:cs="Times New Roman"/>
          <w:color w:val="000000" w:themeColor="text1"/>
          <w:sz w:val="24"/>
          <w:szCs w:val="24"/>
          <w:lang w:val="en-US"/>
        </w:rPr>
        <w:t>s (Brown et al., 2025)</w:t>
      </w:r>
      <w:r w:rsidR="62A822DE" w:rsidRPr="1193C325">
        <w:rPr>
          <w:rFonts w:ascii="Times New Roman" w:eastAsia="Times New Roman" w:hAnsi="Times New Roman" w:cs="Times New Roman"/>
          <w:color w:val="000000" w:themeColor="text1"/>
          <w:sz w:val="24"/>
          <w:szCs w:val="24"/>
          <w:lang w:val="en-US"/>
        </w:rPr>
        <w:t xml:space="preserve">. </w:t>
      </w:r>
      <w:r w:rsidRPr="1193C325">
        <w:rPr>
          <w:rFonts w:ascii="Times New Roman" w:eastAsia="Times New Roman" w:hAnsi="Times New Roman" w:cs="Times New Roman"/>
          <w:color w:val="000000" w:themeColor="text1"/>
          <w:sz w:val="24"/>
          <w:szCs w:val="24"/>
          <w:lang w:val="en-US"/>
        </w:rPr>
        <w:t xml:space="preserve">Hanna and </w:t>
      </w:r>
      <w:proofErr w:type="spellStart"/>
      <w:r w:rsidRPr="1193C325">
        <w:rPr>
          <w:rFonts w:ascii="Times New Roman" w:eastAsia="Times New Roman" w:hAnsi="Times New Roman" w:cs="Times New Roman"/>
          <w:color w:val="000000" w:themeColor="text1"/>
          <w:sz w:val="24"/>
          <w:szCs w:val="24"/>
          <w:lang w:val="en-US"/>
        </w:rPr>
        <w:t>Senderovich</w:t>
      </w:r>
      <w:proofErr w:type="spellEnd"/>
      <w:r w:rsidRPr="1193C325">
        <w:rPr>
          <w:rFonts w:ascii="Times New Roman" w:eastAsia="Times New Roman" w:hAnsi="Times New Roman" w:cs="Times New Roman"/>
          <w:color w:val="000000" w:themeColor="text1"/>
          <w:sz w:val="24"/>
          <w:szCs w:val="24"/>
          <w:lang w:val="en-US"/>
        </w:rPr>
        <w:t xml:space="preserve"> (2021) and D’Souza et al. (2023) describe</w:t>
      </w:r>
      <w:r w:rsidR="07F948A9"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how differences in opioid receptor sensitivity, hepatic function, and cytochrome P450 enzyme activity contribute to interindividual variability in drug metabolism and duration of effect. Additionally, </w:t>
      </w:r>
      <w:r w:rsidR="3AAC820A" w:rsidRPr="1193C325">
        <w:rPr>
          <w:rFonts w:ascii="Times New Roman" w:eastAsia="Times New Roman" w:hAnsi="Times New Roman" w:cs="Times New Roman"/>
          <w:color w:val="000000" w:themeColor="text1"/>
          <w:sz w:val="24"/>
          <w:szCs w:val="24"/>
          <w:lang w:val="en-US"/>
        </w:rPr>
        <w:t xml:space="preserve">Xie et al. (2025) noted that </w:t>
      </w:r>
      <w:r w:rsidRPr="1193C325">
        <w:rPr>
          <w:rFonts w:ascii="Times New Roman" w:eastAsia="Times New Roman" w:hAnsi="Times New Roman" w:cs="Times New Roman"/>
          <w:color w:val="000000" w:themeColor="text1"/>
          <w:sz w:val="24"/>
          <w:szCs w:val="24"/>
          <w:lang w:val="en-US"/>
        </w:rPr>
        <w:t>high-risk populations, including patients with obstructive sleep apnea or advanced age, remain underrepresented in the literature,</w:t>
      </w:r>
      <w:r w:rsidR="1CBA911C" w:rsidRPr="1193C325">
        <w:rPr>
          <w:rFonts w:ascii="Times New Roman" w:eastAsia="Times New Roman" w:hAnsi="Times New Roman" w:cs="Times New Roman"/>
          <w:color w:val="000000" w:themeColor="text1"/>
          <w:sz w:val="24"/>
          <w:szCs w:val="24"/>
          <w:lang w:val="en-US"/>
        </w:rPr>
        <w:t xml:space="preserve"> </w:t>
      </w:r>
      <w:r w:rsidRPr="1193C325">
        <w:rPr>
          <w:rFonts w:ascii="Times New Roman" w:eastAsia="Times New Roman" w:hAnsi="Times New Roman" w:cs="Times New Roman"/>
          <w:color w:val="000000" w:themeColor="text1"/>
          <w:sz w:val="24"/>
          <w:szCs w:val="24"/>
          <w:lang w:val="en-US"/>
        </w:rPr>
        <w:t>limiting generalizability and contributing to uncertainty in these subgroups.</w:t>
      </w:r>
    </w:p>
    <w:p w14:paraId="4FC2E992" w14:textId="169EB071" w:rsidR="23B78A03" w:rsidRDefault="5DBEA8D6" w:rsidP="1193C325">
      <w:pPr>
        <w:spacing w:line="480" w:lineRule="auto"/>
        <w:ind w:firstLine="720"/>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 xml:space="preserve">Methodological </w:t>
      </w:r>
      <w:r w:rsidR="0083381A">
        <w:rPr>
          <w:rFonts w:ascii="Times New Roman" w:eastAsia="Times New Roman" w:hAnsi="Times New Roman" w:cs="Times New Roman"/>
          <w:color w:val="000000" w:themeColor="text1"/>
          <w:sz w:val="24"/>
          <w:szCs w:val="24"/>
          <w:lang w:val="en-US"/>
        </w:rPr>
        <w:t>variability</w:t>
      </w:r>
      <w:r w:rsidRPr="1193C325">
        <w:rPr>
          <w:rFonts w:ascii="Times New Roman" w:eastAsia="Times New Roman" w:hAnsi="Times New Roman" w:cs="Times New Roman"/>
          <w:color w:val="000000" w:themeColor="text1"/>
          <w:sz w:val="24"/>
          <w:szCs w:val="24"/>
          <w:lang w:val="en-US"/>
        </w:rPr>
        <w:t xml:space="preserve"> across studies further contribute</w:t>
      </w:r>
      <w:r w:rsidR="24A4D93B"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to heterogeneity in reported outcomes. Differences in outcome measurement, including variation in pain scales, timing of assessments, and reporting of opioid consumption in MME, limit</w:t>
      </w:r>
      <w:r w:rsidR="25579E21" w:rsidRPr="1193C325">
        <w:rPr>
          <w:rFonts w:ascii="Times New Roman" w:eastAsia="Times New Roman" w:hAnsi="Times New Roman" w:cs="Times New Roman"/>
          <w:color w:val="000000" w:themeColor="text1"/>
          <w:sz w:val="24"/>
          <w:szCs w:val="24"/>
          <w:lang w:val="en-US"/>
        </w:rPr>
        <w:t xml:space="preserve">ed </w:t>
      </w:r>
      <w:r w:rsidRPr="1193C325">
        <w:rPr>
          <w:rFonts w:ascii="Times New Roman" w:eastAsia="Times New Roman" w:hAnsi="Times New Roman" w:cs="Times New Roman"/>
          <w:color w:val="000000" w:themeColor="text1"/>
          <w:sz w:val="24"/>
          <w:szCs w:val="24"/>
          <w:lang w:val="en-US"/>
        </w:rPr>
        <w:t xml:space="preserve">direct comparability across studies. Kendall et al. (2020) and </w:t>
      </w:r>
      <w:proofErr w:type="spellStart"/>
      <w:r w:rsidRPr="1193C325">
        <w:rPr>
          <w:rFonts w:ascii="Times New Roman" w:eastAsia="Times New Roman" w:hAnsi="Times New Roman" w:cs="Times New Roman"/>
          <w:color w:val="000000" w:themeColor="text1"/>
          <w:sz w:val="24"/>
          <w:szCs w:val="24"/>
          <w:lang w:val="en-US"/>
        </w:rPr>
        <w:t>Lobova</w:t>
      </w:r>
      <w:proofErr w:type="spellEnd"/>
      <w:r w:rsidRPr="1193C325">
        <w:rPr>
          <w:rFonts w:ascii="Times New Roman" w:eastAsia="Times New Roman" w:hAnsi="Times New Roman" w:cs="Times New Roman"/>
          <w:color w:val="000000" w:themeColor="text1"/>
          <w:sz w:val="24"/>
          <w:szCs w:val="24"/>
          <w:lang w:val="en-US"/>
        </w:rPr>
        <w:t xml:space="preserve"> et al. (2021) both noted inconsistencies in outcome reporting across trials and reviews. Additionally, variation</w:t>
      </w:r>
      <w:r w:rsidR="0D64E961" w:rsidRPr="1193C325">
        <w:rPr>
          <w:rFonts w:ascii="Times New Roman" w:eastAsia="Times New Roman" w:hAnsi="Times New Roman" w:cs="Times New Roman"/>
          <w:color w:val="000000" w:themeColor="text1"/>
          <w:sz w:val="24"/>
          <w:szCs w:val="24"/>
          <w:lang w:val="en-US"/>
        </w:rPr>
        <w:t>s</w:t>
      </w:r>
      <w:r w:rsidRPr="1193C325">
        <w:rPr>
          <w:rFonts w:ascii="Times New Roman" w:eastAsia="Times New Roman" w:hAnsi="Times New Roman" w:cs="Times New Roman"/>
          <w:color w:val="000000" w:themeColor="text1"/>
          <w:sz w:val="24"/>
          <w:szCs w:val="24"/>
          <w:lang w:val="en-US"/>
        </w:rPr>
        <w:t xml:space="preserve"> in study design</w:t>
      </w:r>
      <w:r w:rsidR="422460FF" w:rsidRPr="1193C325">
        <w:rPr>
          <w:rFonts w:ascii="Times New Roman" w:eastAsia="Times New Roman" w:hAnsi="Times New Roman" w:cs="Times New Roman"/>
          <w:color w:val="000000" w:themeColor="text1"/>
          <w:sz w:val="24"/>
          <w:szCs w:val="24"/>
          <w:lang w:val="en-US"/>
        </w:rPr>
        <w:t xml:space="preserve"> and standardization</w:t>
      </w:r>
      <w:r w:rsidRPr="1193C325">
        <w:rPr>
          <w:rFonts w:ascii="Times New Roman" w:eastAsia="Times New Roman" w:hAnsi="Times New Roman" w:cs="Times New Roman"/>
          <w:color w:val="000000" w:themeColor="text1"/>
          <w:sz w:val="24"/>
          <w:szCs w:val="24"/>
          <w:lang w:val="en-US"/>
        </w:rPr>
        <w:t xml:space="preserve">, including differences between randomized controlled trials and observational cohorts, </w:t>
      </w:r>
      <w:r w:rsidR="2F145237" w:rsidRPr="1193C325">
        <w:rPr>
          <w:rFonts w:ascii="Times New Roman" w:eastAsia="Times New Roman" w:hAnsi="Times New Roman" w:cs="Times New Roman"/>
          <w:color w:val="000000" w:themeColor="text1"/>
          <w:sz w:val="24"/>
          <w:szCs w:val="24"/>
          <w:lang w:val="en-US"/>
        </w:rPr>
        <w:t>introduce</w:t>
      </w:r>
      <w:r w:rsidR="1ECEAC23" w:rsidRPr="1193C325">
        <w:rPr>
          <w:rFonts w:ascii="Times New Roman" w:eastAsia="Times New Roman" w:hAnsi="Times New Roman" w:cs="Times New Roman"/>
          <w:color w:val="000000" w:themeColor="text1"/>
          <w:sz w:val="24"/>
          <w:szCs w:val="24"/>
          <w:lang w:val="en-US"/>
        </w:rPr>
        <w:t xml:space="preserve">d </w:t>
      </w:r>
      <w:r w:rsidRPr="1193C325">
        <w:rPr>
          <w:rFonts w:ascii="Times New Roman" w:eastAsia="Times New Roman" w:hAnsi="Times New Roman" w:cs="Times New Roman"/>
          <w:color w:val="000000" w:themeColor="text1"/>
          <w:sz w:val="24"/>
          <w:szCs w:val="24"/>
          <w:lang w:val="en-US"/>
        </w:rPr>
        <w:t>potential confounding</w:t>
      </w:r>
      <w:r w:rsidR="39472A59" w:rsidRPr="1193C325">
        <w:rPr>
          <w:rFonts w:ascii="Times New Roman" w:eastAsia="Times New Roman" w:hAnsi="Times New Roman" w:cs="Times New Roman"/>
          <w:color w:val="000000" w:themeColor="text1"/>
          <w:sz w:val="24"/>
          <w:szCs w:val="24"/>
          <w:lang w:val="en-US"/>
        </w:rPr>
        <w:t xml:space="preserve"> </w:t>
      </w:r>
      <w:r w:rsidR="2C86AF0A" w:rsidRPr="1193C325">
        <w:rPr>
          <w:rFonts w:ascii="Times New Roman" w:eastAsia="Times New Roman" w:hAnsi="Times New Roman" w:cs="Times New Roman"/>
          <w:color w:val="000000" w:themeColor="text1"/>
          <w:sz w:val="24"/>
          <w:szCs w:val="24"/>
          <w:lang w:val="en-US"/>
        </w:rPr>
        <w:t>factors</w:t>
      </w:r>
      <w:r w:rsidR="39472A59" w:rsidRPr="1193C325">
        <w:rPr>
          <w:rFonts w:ascii="Times New Roman" w:eastAsia="Times New Roman" w:hAnsi="Times New Roman" w:cs="Times New Roman"/>
          <w:color w:val="000000" w:themeColor="text1"/>
          <w:sz w:val="24"/>
          <w:szCs w:val="24"/>
          <w:lang w:val="en-US"/>
        </w:rPr>
        <w:t xml:space="preserve"> </w:t>
      </w:r>
      <w:r w:rsidR="1070F691" w:rsidRPr="1193C325">
        <w:rPr>
          <w:rFonts w:ascii="Times New Roman" w:eastAsia="Times New Roman" w:hAnsi="Times New Roman" w:cs="Times New Roman"/>
          <w:color w:val="000000" w:themeColor="text1"/>
          <w:sz w:val="24"/>
          <w:szCs w:val="24"/>
          <w:lang w:val="en-US"/>
        </w:rPr>
        <w:t xml:space="preserve">that may have </w:t>
      </w:r>
      <w:r w:rsidR="1105EE39" w:rsidRPr="1193C325">
        <w:rPr>
          <w:rFonts w:ascii="Times New Roman" w:eastAsia="Times New Roman" w:hAnsi="Times New Roman" w:cs="Times New Roman"/>
          <w:color w:val="000000" w:themeColor="text1"/>
          <w:sz w:val="24"/>
          <w:szCs w:val="24"/>
          <w:lang w:val="en-US"/>
        </w:rPr>
        <w:t>weakened</w:t>
      </w:r>
      <w:r w:rsidR="1070F691" w:rsidRPr="1193C325">
        <w:rPr>
          <w:rFonts w:ascii="Times New Roman" w:eastAsia="Times New Roman" w:hAnsi="Times New Roman" w:cs="Times New Roman"/>
          <w:color w:val="000000" w:themeColor="text1"/>
          <w:sz w:val="24"/>
          <w:szCs w:val="24"/>
          <w:lang w:val="en-US"/>
        </w:rPr>
        <w:t xml:space="preserve"> causal inference</w:t>
      </w:r>
      <w:r w:rsidR="0CE71BB8" w:rsidRPr="1193C325">
        <w:rPr>
          <w:rFonts w:ascii="Times New Roman" w:eastAsia="Times New Roman" w:hAnsi="Times New Roman" w:cs="Times New Roman"/>
          <w:color w:val="000000" w:themeColor="text1"/>
          <w:sz w:val="24"/>
          <w:szCs w:val="24"/>
          <w:lang w:val="en-US"/>
        </w:rPr>
        <w:t xml:space="preserve"> (Cata et al., 2024)</w:t>
      </w:r>
      <w:r w:rsidR="3ABDDA56" w:rsidRPr="1193C325">
        <w:rPr>
          <w:rFonts w:ascii="Times New Roman" w:eastAsia="Times New Roman" w:hAnsi="Times New Roman" w:cs="Times New Roman"/>
          <w:color w:val="000000" w:themeColor="text1"/>
          <w:sz w:val="24"/>
          <w:szCs w:val="24"/>
          <w:lang w:val="en-US"/>
        </w:rPr>
        <w:t xml:space="preserve">. </w:t>
      </w:r>
      <w:r w:rsidRPr="1193C325">
        <w:rPr>
          <w:rFonts w:ascii="Times New Roman" w:eastAsia="Times New Roman" w:hAnsi="Times New Roman" w:cs="Times New Roman"/>
          <w:color w:val="000000" w:themeColor="text1"/>
          <w:sz w:val="24"/>
          <w:szCs w:val="24"/>
          <w:lang w:val="en-US"/>
        </w:rPr>
        <w:t xml:space="preserve">However, the consistent </w:t>
      </w:r>
      <w:r w:rsidR="4EBECA5A" w:rsidRPr="1193C325">
        <w:rPr>
          <w:rFonts w:ascii="Times New Roman" w:eastAsia="Times New Roman" w:hAnsi="Times New Roman" w:cs="Times New Roman"/>
          <w:color w:val="000000" w:themeColor="text1"/>
          <w:sz w:val="24"/>
          <w:szCs w:val="24"/>
          <w:lang w:val="en-US"/>
        </w:rPr>
        <w:t xml:space="preserve">pattern </w:t>
      </w:r>
      <w:r w:rsidRPr="1193C325">
        <w:rPr>
          <w:rFonts w:ascii="Times New Roman" w:eastAsia="Times New Roman" w:hAnsi="Times New Roman" w:cs="Times New Roman"/>
          <w:color w:val="000000" w:themeColor="text1"/>
          <w:sz w:val="24"/>
          <w:szCs w:val="24"/>
          <w:lang w:val="en-US"/>
        </w:rPr>
        <w:t>of effect across study designs strengthen</w:t>
      </w:r>
      <w:r w:rsidR="7A128EAC" w:rsidRPr="1193C325">
        <w:rPr>
          <w:rFonts w:ascii="Times New Roman" w:eastAsia="Times New Roman" w:hAnsi="Times New Roman" w:cs="Times New Roman"/>
          <w:color w:val="000000" w:themeColor="text1"/>
          <w:sz w:val="24"/>
          <w:szCs w:val="24"/>
          <w:lang w:val="en-US"/>
        </w:rPr>
        <w:t>ed</w:t>
      </w:r>
      <w:r w:rsidRPr="1193C325">
        <w:rPr>
          <w:rFonts w:ascii="Times New Roman" w:eastAsia="Times New Roman" w:hAnsi="Times New Roman" w:cs="Times New Roman"/>
          <w:color w:val="000000" w:themeColor="text1"/>
          <w:sz w:val="24"/>
          <w:szCs w:val="24"/>
          <w:lang w:val="en-US"/>
        </w:rPr>
        <w:t xml:space="preserve"> overall confidence in the observed analgesic and opioid-sparing benefits</w:t>
      </w:r>
      <w:r w:rsidR="00E5FA7D" w:rsidRPr="1193C325">
        <w:rPr>
          <w:rFonts w:ascii="Times New Roman" w:eastAsia="Times New Roman" w:hAnsi="Times New Roman" w:cs="Times New Roman"/>
          <w:color w:val="000000" w:themeColor="text1"/>
          <w:sz w:val="24"/>
          <w:szCs w:val="24"/>
          <w:lang w:val="en-US"/>
        </w:rPr>
        <w:t>.</w:t>
      </w:r>
    </w:p>
    <w:p w14:paraId="2C550149" w14:textId="6879FA8B" w:rsidR="23B78A03" w:rsidRDefault="5DBEA8D6" w:rsidP="1193C325">
      <w:pPr>
        <w:spacing w:line="480" w:lineRule="auto"/>
        <w:ind w:firstLine="720"/>
        <w:contextualSpacing/>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While intraoperative methadone consistently improve</w:t>
      </w:r>
      <w:r w:rsidR="2717C5FA"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postoperative analgesia and reduce</w:t>
      </w:r>
      <w:r w:rsidR="038AD154"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opioid requirements, the magnitude of these effects </w:t>
      </w:r>
      <w:r w:rsidR="2B92629D" w:rsidRPr="1193C325">
        <w:rPr>
          <w:rFonts w:ascii="Times New Roman" w:eastAsia="Times New Roman" w:hAnsi="Times New Roman" w:cs="Times New Roman"/>
          <w:color w:val="000000" w:themeColor="text1"/>
          <w:sz w:val="24"/>
          <w:szCs w:val="24"/>
          <w:lang w:val="en-US"/>
        </w:rPr>
        <w:t xml:space="preserve">was </w:t>
      </w:r>
      <w:r w:rsidRPr="1193C325">
        <w:rPr>
          <w:rFonts w:ascii="Times New Roman" w:eastAsia="Times New Roman" w:hAnsi="Times New Roman" w:cs="Times New Roman"/>
          <w:color w:val="000000" w:themeColor="text1"/>
          <w:sz w:val="24"/>
          <w:szCs w:val="24"/>
          <w:lang w:val="en-US"/>
        </w:rPr>
        <w:t>influenced by a complex interplay of dosing strategy, surgical context, perioperative management, and patient-specific factors. Recognition of these determinants is essential for interpreting variability across the literature and for informing standardized, evidence-based implementation in clinical practice.</w:t>
      </w:r>
    </w:p>
    <w:p w14:paraId="5A9F4830" w14:textId="641DE895" w:rsidR="23B78A03" w:rsidRDefault="5DBEA8D6" w:rsidP="1193C325">
      <w:pPr>
        <w:spacing w:line="480" w:lineRule="auto"/>
        <w:contextualSpacing/>
        <w:rPr>
          <w:rFonts w:ascii="Times New Roman" w:eastAsia="Times New Roman" w:hAnsi="Times New Roman" w:cs="Times New Roman"/>
          <w:b/>
          <w:bCs/>
          <w:color w:val="000000" w:themeColor="text1"/>
          <w:sz w:val="24"/>
          <w:szCs w:val="24"/>
          <w:lang w:val="en-US"/>
        </w:rPr>
      </w:pPr>
      <w:r w:rsidRPr="1193C325">
        <w:rPr>
          <w:rFonts w:ascii="Times New Roman" w:eastAsia="Times New Roman" w:hAnsi="Times New Roman" w:cs="Times New Roman"/>
          <w:b/>
          <w:bCs/>
          <w:color w:val="000000" w:themeColor="text1"/>
          <w:sz w:val="24"/>
          <w:szCs w:val="24"/>
          <w:lang w:val="en-US"/>
        </w:rPr>
        <w:lastRenderedPageBreak/>
        <w:t>Pharmacologic Mechanisms Underlying Observed Clinical Effects</w:t>
      </w:r>
    </w:p>
    <w:p w14:paraId="6480B10B" w14:textId="55AEDBFC" w:rsidR="23B78A03" w:rsidRDefault="5DBEA8D6"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The observed reductions in postoperative pain and opioid consumption, along with a comparable safety profile to short-acting opioids, align closely with methadone’s unique pharmacokinetic and pharmacodynamic properties. Across the literature, methadone’s prolonged duration of action and multimodal receptor activity provide</w:t>
      </w:r>
      <w:r w:rsidR="2369FD38" w:rsidRPr="343CB678">
        <w:rPr>
          <w:rFonts w:ascii="Times New Roman" w:eastAsia="Times New Roman" w:hAnsi="Times New Roman" w:cs="Times New Roman"/>
          <w:color w:val="000000" w:themeColor="text1"/>
          <w:sz w:val="24"/>
          <w:szCs w:val="24"/>
          <w:lang w:val="en-US"/>
        </w:rPr>
        <w:t>s</w:t>
      </w:r>
      <w:r w:rsidRPr="343CB678">
        <w:rPr>
          <w:rFonts w:ascii="Times New Roman" w:eastAsia="Times New Roman" w:hAnsi="Times New Roman" w:cs="Times New Roman"/>
          <w:color w:val="000000" w:themeColor="text1"/>
          <w:sz w:val="24"/>
          <w:szCs w:val="24"/>
          <w:lang w:val="en-US"/>
        </w:rPr>
        <w:t xml:space="preserve"> a basis for the consistent patterns identified in clinical outcomes. Methadone’s ability to act across multiple levels of the pain pathway, including μ-opioid receptor agonism, N-methyl-D-aspartate (NMDA) receptor antagonism, and monoamine reuptake inhibition, supports its role as a multimodal analgesic rather than a traditional single-mechanism opioid (Brown et al., 2025). These pharmacologic characteristics provide a cohesive explanation for the sustained analgesic effects and opioid-sparing patterns observed across studies.</w:t>
      </w:r>
    </w:p>
    <w:p w14:paraId="06A0DB2D" w14:textId="2FBBF841" w:rsidR="23B78A03" w:rsidRDefault="1E6B7804" w:rsidP="343CB678">
      <w:pPr>
        <w:spacing w:line="480" w:lineRule="auto"/>
        <w:ind w:firstLine="720"/>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 xml:space="preserve">Brown et al. (2025) </w:t>
      </w:r>
      <w:r w:rsidR="009F373A">
        <w:rPr>
          <w:rFonts w:ascii="Times New Roman" w:eastAsia="Times New Roman" w:hAnsi="Times New Roman" w:cs="Times New Roman"/>
          <w:color w:val="000000" w:themeColor="text1"/>
          <w:sz w:val="24"/>
          <w:szCs w:val="24"/>
          <w:lang w:val="en-US"/>
        </w:rPr>
        <w:t xml:space="preserve">described </w:t>
      </w:r>
      <w:r w:rsidRPr="343CB678">
        <w:rPr>
          <w:rFonts w:ascii="Times New Roman" w:eastAsia="Times New Roman" w:hAnsi="Times New Roman" w:cs="Times New Roman"/>
          <w:color w:val="000000" w:themeColor="text1"/>
          <w:sz w:val="24"/>
          <w:szCs w:val="24"/>
          <w:lang w:val="en-US"/>
        </w:rPr>
        <w:t>how</w:t>
      </w:r>
      <w:r w:rsidR="009F373A">
        <w:rPr>
          <w:rFonts w:ascii="Times New Roman" w:eastAsia="Times New Roman" w:hAnsi="Times New Roman" w:cs="Times New Roman"/>
          <w:color w:val="000000" w:themeColor="text1"/>
          <w:sz w:val="24"/>
          <w:szCs w:val="24"/>
          <w:lang w:val="en-US"/>
        </w:rPr>
        <w:t>,</w:t>
      </w:r>
      <w:r w:rsidRPr="343CB678">
        <w:rPr>
          <w:rFonts w:ascii="Times New Roman" w:eastAsia="Times New Roman" w:hAnsi="Times New Roman" w:cs="Times New Roman"/>
          <w:color w:val="000000" w:themeColor="text1"/>
          <w:sz w:val="24"/>
          <w:szCs w:val="24"/>
          <w:lang w:val="en-US"/>
        </w:rPr>
        <w:t xml:space="preserve"> u</w:t>
      </w:r>
      <w:r w:rsidR="5DBEA8D6" w:rsidRPr="343CB678">
        <w:rPr>
          <w:rFonts w:ascii="Times New Roman" w:eastAsia="Times New Roman" w:hAnsi="Times New Roman" w:cs="Times New Roman"/>
          <w:color w:val="000000" w:themeColor="text1"/>
          <w:sz w:val="24"/>
          <w:szCs w:val="24"/>
          <w:lang w:val="en-US"/>
        </w:rPr>
        <w:t xml:space="preserve">nlike short-acting opioids, which produce fluctuating plasma concentrations and require repeated dosing, methadone maintains stable therapeutic levels following a single intraoperative dose. </w:t>
      </w:r>
      <w:r w:rsidR="4A83144E" w:rsidRPr="343CB678">
        <w:rPr>
          <w:rFonts w:ascii="Times New Roman" w:eastAsia="Times New Roman" w:hAnsi="Times New Roman" w:cs="Times New Roman"/>
          <w:color w:val="000000" w:themeColor="text1"/>
          <w:sz w:val="24"/>
          <w:szCs w:val="24"/>
          <w:lang w:val="en-US"/>
        </w:rPr>
        <w:t xml:space="preserve">They further </w:t>
      </w:r>
      <w:r w:rsidR="009F373A">
        <w:rPr>
          <w:rFonts w:ascii="Times New Roman" w:eastAsia="Times New Roman" w:hAnsi="Times New Roman" w:cs="Times New Roman"/>
          <w:color w:val="000000" w:themeColor="text1"/>
          <w:sz w:val="24"/>
          <w:szCs w:val="24"/>
          <w:lang w:val="en-US"/>
        </w:rPr>
        <w:t>noted</w:t>
      </w:r>
      <w:r w:rsidR="4A83144E" w:rsidRPr="343CB678">
        <w:rPr>
          <w:rFonts w:ascii="Times New Roman" w:eastAsia="Times New Roman" w:hAnsi="Times New Roman" w:cs="Times New Roman"/>
          <w:color w:val="000000" w:themeColor="text1"/>
          <w:sz w:val="24"/>
          <w:szCs w:val="24"/>
          <w:lang w:val="en-US"/>
        </w:rPr>
        <w:t xml:space="preserve"> </w:t>
      </w:r>
      <w:r w:rsidR="08C4A8AE" w:rsidRPr="343CB678">
        <w:rPr>
          <w:rFonts w:ascii="Times New Roman" w:eastAsia="Times New Roman" w:hAnsi="Times New Roman" w:cs="Times New Roman"/>
          <w:color w:val="000000" w:themeColor="text1"/>
          <w:sz w:val="24"/>
          <w:szCs w:val="24"/>
          <w:lang w:val="en-US"/>
        </w:rPr>
        <w:t>that m</w:t>
      </w:r>
      <w:r w:rsidR="5DBEA8D6" w:rsidRPr="343CB678">
        <w:rPr>
          <w:rFonts w:ascii="Times New Roman" w:eastAsia="Times New Roman" w:hAnsi="Times New Roman" w:cs="Times New Roman"/>
          <w:color w:val="000000" w:themeColor="text1"/>
          <w:sz w:val="24"/>
          <w:szCs w:val="24"/>
          <w:lang w:val="en-US"/>
        </w:rPr>
        <w:t xml:space="preserve">ethadone achieves sustained plasma concentrations with a half-life of approximately 24–36 hours, allowing </w:t>
      </w:r>
      <w:r w:rsidR="416C8B75" w:rsidRPr="343CB678">
        <w:rPr>
          <w:rFonts w:ascii="Times New Roman" w:eastAsia="Times New Roman" w:hAnsi="Times New Roman" w:cs="Times New Roman"/>
          <w:color w:val="000000" w:themeColor="text1"/>
          <w:sz w:val="24"/>
          <w:szCs w:val="24"/>
          <w:lang w:val="en-US"/>
        </w:rPr>
        <w:t xml:space="preserve">for </w:t>
      </w:r>
      <w:r w:rsidR="5DBEA8D6" w:rsidRPr="343CB678">
        <w:rPr>
          <w:rFonts w:ascii="Times New Roman" w:eastAsia="Times New Roman" w:hAnsi="Times New Roman" w:cs="Times New Roman"/>
          <w:color w:val="000000" w:themeColor="text1"/>
          <w:sz w:val="24"/>
          <w:szCs w:val="24"/>
          <w:lang w:val="en-US"/>
        </w:rPr>
        <w:t>continuous receptor engagement and prolonged analgesic coverage. This pharmacokinetic profile aligns with the time course of peak postoperative nociceptive input and supports the observed reductions in breakthrough pain and delayed need for rescue analgesia reported across clinical studies (Kendall et al., 2020; Xie et al., 2025).</w:t>
      </w:r>
    </w:p>
    <w:p w14:paraId="5A83FC35" w14:textId="3D086E16" w:rsidR="23B78A03" w:rsidRDefault="265965AA" w:rsidP="1193C325">
      <w:pPr>
        <w:spacing w:line="480" w:lineRule="auto"/>
        <w:ind w:firstLine="720"/>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Murphy et al. (2021) described methadone as a</w:t>
      </w:r>
      <w:r w:rsidR="5DBEA8D6" w:rsidRPr="1193C325">
        <w:rPr>
          <w:rFonts w:ascii="Times New Roman" w:eastAsia="Times New Roman" w:hAnsi="Times New Roman" w:cs="Times New Roman"/>
          <w:color w:val="000000" w:themeColor="text1"/>
          <w:sz w:val="24"/>
          <w:szCs w:val="24"/>
          <w:lang w:val="en-US"/>
        </w:rPr>
        <w:t xml:space="preserve"> μ-opioid receptor agoni</w:t>
      </w:r>
      <w:r w:rsidR="5794E315" w:rsidRPr="1193C325">
        <w:rPr>
          <w:rFonts w:ascii="Times New Roman" w:eastAsia="Times New Roman" w:hAnsi="Times New Roman" w:cs="Times New Roman"/>
          <w:color w:val="000000" w:themeColor="text1"/>
          <w:sz w:val="24"/>
          <w:szCs w:val="24"/>
          <w:lang w:val="en-US"/>
        </w:rPr>
        <w:t>st with additional</w:t>
      </w:r>
      <w:r w:rsidR="5DBEA8D6" w:rsidRPr="1193C325">
        <w:rPr>
          <w:rFonts w:ascii="Times New Roman" w:eastAsia="Times New Roman" w:hAnsi="Times New Roman" w:cs="Times New Roman"/>
          <w:color w:val="000000" w:themeColor="text1"/>
          <w:sz w:val="24"/>
          <w:szCs w:val="24"/>
          <w:lang w:val="en-US"/>
        </w:rPr>
        <w:t xml:space="preserve"> NMDA receptor</w:t>
      </w:r>
      <w:r w:rsidR="453100D0" w:rsidRPr="1193C325">
        <w:rPr>
          <w:rFonts w:ascii="Times New Roman" w:eastAsia="Times New Roman" w:hAnsi="Times New Roman" w:cs="Times New Roman"/>
          <w:color w:val="000000" w:themeColor="text1"/>
          <w:sz w:val="24"/>
          <w:szCs w:val="24"/>
          <w:lang w:val="en-US"/>
        </w:rPr>
        <w:t xml:space="preserve"> antagonism, </w:t>
      </w:r>
      <w:r w:rsidR="5077CB24" w:rsidRPr="1193C325">
        <w:rPr>
          <w:rFonts w:ascii="Times New Roman" w:eastAsia="Times New Roman" w:hAnsi="Times New Roman" w:cs="Times New Roman"/>
          <w:color w:val="000000" w:themeColor="text1"/>
          <w:sz w:val="24"/>
          <w:szCs w:val="24"/>
          <w:lang w:val="en-US"/>
        </w:rPr>
        <w:t xml:space="preserve">contributing to </w:t>
      </w:r>
      <w:r w:rsidR="5DBEA8D6" w:rsidRPr="1193C325">
        <w:rPr>
          <w:rFonts w:ascii="Times New Roman" w:eastAsia="Times New Roman" w:hAnsi="Times New Roman" w:cs="Times New Roman"/>
          <w:color w:val="000000" w:themeColor="text1"/>
          <w:sz w:val="24"/>
          <w:szCs w:val="24"/>
          <w:lang w:val="en-US"/>
        </w:rPr>
        <w:t>enhanc</w:t>
      </w:r>
      <w:r w:rsidR="0D6E7137" w:rsidRPr="1193C325">
        <w:rPr>
          <w:rFonts w:ascii="Times New Roman" w:eastAsia="Times New Roman" w:hAnsi="Times New Roman" w:cs="Times New Roman"/>
          <w:color w:val="000000" w:themeColor="text1"/>
          <w:sz w:val="24"/>
          <w:szCs w:val="24"/>
          <w:lang w:val="en-US"/>
        </w:rPr>
        <w:t>ed</w:t>
      </w:r>
      <w:r w:rsidR="5DBEA8D6" w:rsidRPr="1193C325">
        <w:rPr>
          <w:rFonts w:ascii="Times New Roman" w:eastAsia="Times New Roman" w:hAnsi="Times New Roman" w:cs="Times New Roman"/>
          <w:color w:val="000000" w:themeColor="text1"/>
          <w:sz w:val="24"/>
          <w:szCs w:val="24"/>
          <w:lang w:val="en-US"/>
        </w:rPr>
        <w:t xml:space="preserve"> analgesic stability and opioid-sparing effects.</w:t>
      </w:r>
      <w:r w:rsidR="51CC2BE8" w:rsidRPr="1193C325">
        <w:rPr>
          <w:rFonts w:ascii="Times New Roman" w:eastAsia="Times New Roman" w:hAnsi="Times New Roman" w:cs="Times New Roman"/>
          <w:color w:val="000000" w:themeColor="text1"/>
          <w:sz w:val="24"/>
          <w:szCs w:val="24"/>
          <w:lang w:val="en-US"/>
        </w:rPr>
        <w:t xml:space="preserve"> </w:t>
      </w:r>
      <w:r w:rsidR="7444D5CA" w:rsidRPr="1193C325">
        <w:rPr>
          <w:rFonts w:ascii="Times New Roman" w:eastAsia="Times New Roman" w:hAnsi="Times New Roman" w:cs="Times New Roman"/>
          <w:color w:val="000000" w:themeColor="text1"/>
          <w:sz w:val="24"/>
          <w:szCs w:val="24"/>
          <w:lang w:val="en-US"/>
        </w:rPr>
        <w:t>They further reported</w:t>
      </w:r>
      <w:r w:rsidR="773C3360" w:rsidRPr="1193C325">
        <w:rPr>
          <w:rFonts w:ascii="Times New Roman" w:eastAsia="Times New Roman" w:hAnsi="Times New Roman" w:cs="Times New Roman"/>
          <w:color w:val="000000" w:themeColor="text1"/>
          <w:sz w:val="24"/>
          <w:szCs w:val="24"/>
          <w:lang w:val="en-US"/>
        </w:rPr>
        <w:t xml:space="preserve"> </w:t>
      </w:r>
      <w:r w:rsidR="49653F41" w:rsidRPr="1193C325">
        <w:rPr>
          <w:rFonts w:ascii="Times New Roman" w:eastAsia="Times New Roman" w:hAnsi="Times New Roman" w:cs="Times New Roman"/>
          <w:color w:val="000000" w:themeColor="text1"/>
          <w:sz w:val="24"/>
          <w:szCs w:val="24"/>
          <w:lang w:val="en-US"/>
        </w:rPr>
        <w:t>that coadministration with ketamine results in enhanced analgesia, suggesting a synergistic effect</w:t>
      </w:r>
      <w:r w:rsidR="0EBAB2BE" w:rsidRPr="1193C325">
        <w:rPr>
          <w:rFonts w:ascii="Times New Roman" w:eastAsia="Times New Roman" w:hAnsi="Times New Roman" w:cs="Times New Roman"/>
          <w:color w:val="000000" w:themeColor="text1"/>
          <w:sz w:val="24"/>
          <w:szCs w:val="24"/>
          <w:lang w:val="en-US"/>
        </w:rPr>
        <w:t>.</w:t>
      </w:r>
      <w:r w:rsidR="49653F41" w:rsidRPr="1193C325">
        <w:rPr>
          <w:rFonts w:ascii="Times New Roman" w:eastAsia="Times New Roman" w:hAnsi="Times New Roman" w:cs="Times New Roman"/>
          <w:color w:val="000000" w:themeColor="text1"/>
          <w:sz w:val="24"/>
          <w:szCs w:val="24"/>
          <w:lang w:val="en-US"/>
        </w:rPr>
        <w:t xml:space="preserve"> </w:t>
      </w:r>
      <w:r w:rsidR="390B8DC5" w:rsidRPr="1193C325">
        <w:rPr>
          <w:rFonts w:ascii="Times New Roman" w:eastAsia="Times New Roman" w:hAnsi="Times New Roman" w:cs="Times New Roman"/>
          <w:color w:val="000000" w:themeColor="text1"/>
          <w:sz w:val="24"/>
          <w:szCs w:val="24"/>
          <w:lang w:val="en-US"/>
        </w:rPr>
        <w:t xml:space="preserve">Brown et al. (2025) specifically highlighted methadone’s role in </w:t>
      </w:r>
      <w:r w:rsidR="390B8DC5" w:rsidRPr="1193C325">
        <w:rPr>
          <w:rFonts w:ascii="Times New Roman" w:eastAsia="Times New Roman" w:hAnsi="Times New Roman" w:cs="Times New Roman"/>
          <w:color w:val="000000" w:themeColor="text1"/>
          <w:sz w:val="24"/>
          <w:szCs w:val="24"/>
          <w:lang w:val="en-US"/>
        </w:rPr>
        <w:lastRenderedPageBreak/>
        <w:t xml:space="preserve">modulating pain pathway remodeling and reducing opioid tolerance, supporting clinical findings of decreased </w:t>
      </w:r>
      <w:r w:rsidR="15ACC66E" w:rsidRPr="1193C325">
        <w:rPr>
          <w:rFonts w:ascii="Times New Roman" w:eastAsia="Times New Roman" w:hAnsi="Times New Roman" w:cs="Times New Roman"/>
          <w:color w:val="000000" w:themeColor="text1"/>
          <w:sz w:val="24"/>
          <w:szCs w:val="24"/>
          <w:lang w:val="en-US"/>
        </w:rPr>
        <w:t>opioid</w:t>
      </w:r>
      <w:r w:rsidR="390B8DC5" w:rsidRPr="1193C325">
        <w:rPr>
          <w:rFonts w:ascii="Times New Roman" w:eastAsia="Times New Roman" w:hAnsi="Times New Roman" w:cs="Times New Roman"/>
          <w:color w:val="000000" w:themeColor="text1"/>
          <w:sz w:val="24"/>
          <w:szCs w:val="24"/>
          <w:lang w:val="en-US"/>
        </w:rPr>
        <w:t xml:space="preserve"> requirements across studies.</w:t>
      </w:r>
      <w:r w:rsidR="3A864A2C" w:rsidRPr="1193C325">
        <w:rPr>
          <w:rFonts w:ascii="Times New Roman" w:eastAsia="Times New Roman" w:hAnsi="Times New Roman" w:cs="Times New Roman"/>
          <w:color w:val="000000" w:themeColor="text1"/>
          <w:sz w:val="24"/>
          <w:szCs w:val="24"/>
          <w:lang w:val="en-US"/>
        </w:rPr>
        <w:t xml:space="preserve"> This mechanism </w:t>
      </w:r>
      <w:r w:rsidR="12F427C5" w:rsidRPr="1193C325">
        <w:rPr>
          <w:rFonts w:ascii="Times New Roman" w:eastAsia="Times New Roman" w:hAnsi="Times New Roman" w:cs="Times New Roman"/>
          <w:color w:val="000000" w:themeColor="text1"/>
          <w:sz w:val="24"/>
          <w:szCs w:val="24"/>
          <w:lang w:val="en-US"/>
        </w:rPr>
        <w:t xml:space="preserve">may also account </w:t>
      </w:r>
      <w:r w:rsidR="3A864A2C" w:rsidRPr="1193C325">
        <w:rPr>
          <w:rFonts w:ascii="Times New Roman" w:eastAsia="Times New Roman" w:hAnsi="Times New Roman" w:cs="Times New Roman"/>
          <w:color w:val="000000" w:themeColor="text1"/>
          <w:sz w:val="24"/>
          <w:szCs w:val="24"/>
          <w:lang w:val="en-US"/>
        </w:rPr>
        <w:t>for the</w:t>
      </w:r>
      <w:r w:rsidR="0C165270" w:rsidRPr="1193C325">
        <w:rPr>
          <w:rFonts w:ascii="Times New Roman" w:eastAsia="Times New Roman" w:hAnsi="Times New Roman" w:cs="Times New Roman"/>
          <w:color w:val="000000" w:themeColor="text1"/>
          <w:sz w:val="24"/>
          <w:szCs w:val="24"/>
          <w:lang w:val="en-US"/>
        </w:rPr>
        <w:t xml:space="preserve"> greater</w:t>
      </w:r>
      <w:r w:rsidR="3A864A2C" w:rsidRPr="1193C325">
        <w:rPr>
          <w:rFonts w:ascii="Times New Roman" w:eastAsia="Times New Roman" w:hAnsi="Times New Roman" w:cs="Times New Roman"/>
          <w:color w:val="000000" w:themeColor="text1"/>
          <w:sz w:val="24"/>
          <w:szCs w:val="24"/>
          <w:lang w:val="en-US"/>
        </w:rPr>
        <w:t xml:space="preserve"> magnitude of benefit observed in higher-intensity surgical procedures</w:t>
      </w:r>
      <w:r w:rsidR="042433E9" w:rsidRPr="1193C325">
        <w:rPr>
          <w:rFonts w:ascii="Times New Roman" w:eastAsia="Times New Roman" w:hAnsi="Times New Roman" w:cs="Times New Roman"/>
          <w:color w:val="000000" w:themeColor="text1"/>
          <w:sz w:val="24"/>
          <w:szCs w:val="24"/>
          <w:lang w:val="en-US"/>
        </w:rPr>
        <w:t xml:space="preserve"> </w:t>
      </w:r>
      <w:r w:rsidR="7F51CEBE" w:rsidRPr="1193C325">
        <w:rPr>
          <w:rFonts w:ascii="Times New Roman" w:eastAsia="Times New Roman" w:hAnsi="Times New Roman" w:cs="Times New Roman"/>
          <w:color w:val="000000" w:themeColor="text1"/>
          <w:sz w:val="24"/>
          <w:szCs w:val="24"/>
          <w:lang w:val="en-US"/>
        </w:rPr>
        <w:t>in which</w:t>
      </w:r>
      <w:r w:rsidR="3A864A2C" w:rsidRPr="1193C325">
        <w:rPr>
          <w:rFonts w:ascii="Times New Roman" w:eastAsia="Times New Roman" w:hAnsi="Times New Roman" w:cs="Times New Roman"/>
          <w:color w:val="000000" w:themeColor="text1"/>
          <w:sz w:val="24"/>
          <w:szCs w:val="24"/>
          <w:lang w:val="en-US"/>
        </w:rPr>
        <w:t xml:space="preserve"> central sensitization </w:t>
      </w:r>
      <w:r w:rsidR="679E42B3" w:rsidRPr="1193C325">
        <w:rPr>
          <w:rFonts w:ascii="Times New Roman" w:eastAsia="Times New Roman" w:hAnsi="Times New Roman" w:cs="Times New Roman"/>
          <w:color w:val="000000" w:themeColor="text1"/>
          <w:sz w:val="24"/>
          <w:szCs w:val="24"/>
          <w:lang w:val="en-US"/>
        </w:rPr>
        <w:t xml:space="preserve">is </w:t>
      </w:r>
      <w:r w:rsidR="3A864A2C" w:rsidRPr="1193C325">
        <w:rPr>
          <w:rFonts w:ascii="Times New Roman" w:eastAsia="Times New Roman" w:hAnsi="Times New Roman" w:cs="Times New Roman"/>
          <w:color w:val="000000" w:themeColor="text1"/>
          <w:sz w:val="24"/>
          <w:szCs w:val="24"/>
          <w:lang w:val="en-US"/>
        </w:rPr>
        <w:t>more pronounced</w:t>
      </w:r>
      <w:r w:rsidR="150D54EE" w:rsidRPr="1193C325">
        <w:rPr>
          <w:rFonts w:ascii="Times New Roman" w:eastAsia="Times New Roman" w:hAnsi="Times New Roman" w:cs="Times New Roman"/>
          <w:color w:val="000000" w:themeColor="text1"/>
          <w:sz w:val="24"/>
          <w:szCs w:val="24"/>
          <w:lang w:val="en-US"/>
        </w:rPr>
        <w:t xml:space="preserve"> (</w:t>
      </w:r>
      <w:proofErr w:type="spellStart"/>
      <w:r w:rsidR="150D54EE" w:rsidRPr="1193C325">
        <w:rPr>
          <w:rFonts w:ascii="Times New Roman" w:eastAsia="Times New Roman" w:hAnsi="Times New Roman" w:cs="Times New Roman"/>
          <w:color w:val="000000" w:themeColor="text1"/>
          <w:sz w:val="24"/>
          <w:szCs w:val="24"/>
          <w:lang w:val="en-US"/>
        </w:rPr>
        <w:t>Lobova</w:t>
      </w:r>
      <w:proofErr w:type="spellEnd"/>
      <w:r w:rsidR="150D54EE" w:rsidRPr="1193C325">
        <w:rPr>
          <w:rFonts w:ascii="Times New Roman" w:eastAsia="Times New Roman" w:hAnsi="Times New Roman" w:cs="Times New Roman"/>
          <w:color w:val="000000" w:themeColor="text1"/>
          <w:sz w:val="24"/>
          <w:szCs w:val="24"/>
          <w:lang w:val="en-US"/>
        </w:rPr>
        <w:t xml:space="preserve"> et al., 2021)</w:t>
      </w:r>
    </w:p>
    <w:p w14:paraId="7410C697" w14:textId="41562168" w:rsidR="23B78A03" w:rsidRDefault="5DBEA8D6"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 xml:space="preserve">Methadone’s inhibition of serotonin and norepinephrine reuptake further contributes to its analgesic profile by enhancing descending inhibitory pain pathways within the central nervous system. </w:t>
      </w:r>
      <w:r w:rsidR="1E4C52B1" w:rsidRPr="343CB678">
        <w:rPr>
          <w:rFonts w:ascii="Times New Roman" w:eastAsia="Times New Roman" w:hAnsi="Times New Roman" w:cs="Times New Roman"/>
          <w:color w:val="000000" w:themeColor="text1"/>
          <w:sz w:val="24"/>
          <w:szCs w:val="24"/>
          <w:lang w:val="en-US"/>
        </w:rPr>
        <w:t>I</w:t>
      </w:r>
      <w:r w:rsidRPr="343CB678">
        <w:rPr>
          <w:rFonts w:ascii="Times New Roman" w:eastAsia="Times New Roman" w:hAnsi="Times New Roman" w:cs="Times New Roman"/>
          <w:color w:val="000000" w:themeColor="text1"/>
          <w:sz w:val="24"/>
          <w:szCs w:val="24"/>
          <w:lang w:val="en-US"/>
        </w:rPr>
        <w:t>nhibition of the serotonin transporter (SERT) and norepinephrine transporter (NET) allows methadone to modulate both nociceptive and neuropathic pain pathways. This monoaminergic activity likely contribute</w:t>
      </w:r>
      <w:r w:rsidR="009F373A">
        <w:rPr>
          <w:rFonts w:ascii="Times New Roman" w:eastAsia="Times New Roman" w:hAnsi="Times New Roman" w:cs="Times New Roman"/>
          <w:color w:val="000000" w:themeColor="text1"/>
          <w:sz w:val="24"/>
          <w:szCs w:val="24"/>
          <w:lang w:val="en-US"/>
        </w:rPr>
        <w:t>s</w:t>
      </w:r>
      <w:r w:rsidRPr="343CB678">
        <w:rPr>
          <w:rFonts w:ascii="Times New Roman" w:eastAsia="Times New Roman" w:hAnsi="Times New Roman" w:cs="Times New Roman"/>
          <w:color w:val="000000" w:themeColor="text1"/>
          <w:sz w:val="24"/>
          <w:szCs w:val="24"/>
          <w:lang w:val="en-US"/>
        </w:rPr>
        <w:t xml:space="preserve"> to the consistency of analgesic benefit across diverse surgical populations</w:t>
      </w:r>
      <w:r w:rsidR="5324530E" w:rsidRPr="343CB678">
        <w:rPr>
          <w:rFonts w:ascii="Times New Roman" w:eastAsia="Times New Roman" w:hAnsi="Times New Roman" w:cs="Times New Roman"/>
          <w:color w:val="000000" w:themeColor="text1"/>
          <w:sz w:val="24"/>
          <w:szCs w:val="24"/>
          <w:lang w:val="en-US"/>
        </w:rPr>
        <w:t xml:space="preserve"> and procedures</w:t>
      </w:r>
      <w:r w:rsidRPr="343CB678">
        <w:rPr>
          <w:rFonts w:ascii="Times New Roman" w:eastAsia="Times New Roman" w:hAnsi="Times New Roman" w:cs="Times New Roman"/>
          <w:color w:val="000000" w:themeColor="text1"/>
          <w:sz w:val="24"/>
          <w:szCs w:val="24"/>
          <w:lang w:val="en-US"/>
        </w:rPr>
        <w:t>, despite variability in study design and perioperative protocols</w:t>
      </w:r>
      <w:r w:rsidR="006BF0C1" w:rsidRPr="343CB678">
        <w:rPr>
          <w:rFonts w:ascii="Times New Roman" w:eastAsia="Times New Roman" w:hAnsi="Times New Roman" w:cs="Times New Roman"/>
          <w:color w:val="000000" w:themeColor="text1"/>
          <w:sz w:val="24"/>
          <w:szCs w:val="24"/>
          <w:lang w:val="en-US"/>
        </w:rPr>
        <w:t xml:space="preserve"> (Brown et al., 2025).</w:t>
      </w:r>
    </w:p>
    <w:p w14:paraId="430E5CF7" w14:textId="2E448A9A" w:rsidR="23B78A03" w:rsidRDefault="5DBEA8D6" w:rsidP="1193C325">
      <w:pPr>
        <w:spacing w:line="480" w:lineRule="auto"/>
        <w:ind w:firstLine="720"/>
        <w:contextualSpacing/>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 xml:space="preserve">The dose-dependent relationships observed in multiple studies </w:t>
      </w:r>
      <w:r w:rsidR="2EC203B7" w:rsidRPr="1193C325">
        <w:rPr>
          <w:rFonts w:ascii="Times New Roman" w:eastAsia="Times New Roman" w:hAnsi="Times New Roman" w:cs="Times New Roman"/>
          <w:color w:val="000000" w:themeColor="text1"/>
          <w:sz w:val="24"/>
          <w:szCs w:val="24"/>
          <w:lang w:val="en-US"/>
        </w:rPr>
        <w:t>we</w:t>
      </w:r>
      <w:r w:rsidRPr="1193C325">
        <w:rPr>
          <w:rFonts w:ascii="Times New Roman" w:eastAsia="Times New Roman" w:hAnsi="Times New Roman" w:cs="Times New Roman"/>
          <w:color w:val="000000" w:themeColor="text1"/>
          <w:sz w:val="24"/>
          <w:szCs w:val="24"/>
          <w:lang w:val="en-US"/>
        </w:rPr>
        <w:t xml:space="preserve">re consistent with methadone’s pharmacokinetics, as insufficient dosing may fail to achieve or maintain therapeutic plasma concentrations necessary for sustained receptor engagement, consistent with dose-dependent reductions in opioid consumption observed in randomized studies </w:t>
      </w:r>
      <w:r w:rsidR="410076DD" w:rsidRPr="1193C325">
        <w:rPr>
          <w:rFonts w:ascii="Times New Roman" w:eastAsia="Times New Roman" w:hAnsi="Times New Roman" w:cs="Times New Roman"/>
          <w:color w:val="000000" w:themeColor="text1"/>
          <w:sz w:val="24"/>
          <w:szCs w:val="24"/>
          <w:lang w:val="en-US"/>
        </w:rPr>
        <w:t>(</w:t>
      </w:r>
      <w:r w:rsidRPr="1193C325">
        <w:rPr>
          <w:rFonts w:ascii="Times New Roman" w:eastAsia="Times New Roman" w:hAnsi="Times New Roman" w:cs="Times New Roman"/>
          <w:color w:val="000000" w:themeColor="text1"/>
          <w:sz w:val="24"/>
          <w:szCs w:val="24"/>
          <w:lang w:val="en-US"/>
        </w:rPr>
        <w:t>Kharasch et al.</w:t>
      </w:r>
      <w:r w:rsidR="760B6612" w:rsidRPr="1193C325">
        <w:rPr>
          <w:rFonts w:ascii="Times New Roman" w:eastAsia="Times New Roman" w:hAnsi="Times New Roman" w:cs="Times New Roman"/>
          <w:color w:val="000000" w:themeColor="text1"/>
          <w:sz w:val="24"/>
          <w:szCs w:val="24"/>
          <w:lang w:val="en-US"/>
        </w:rPr>
        <w:t xml:space="preserve">, </w:t>
      </w:r>
      <w:r w:rsidRPr="1193C325">
        <w:rPr>
          <w:rFonts w:ascii="Times New Roman" w:eastAsia="Times New Roman" w:hAnsi="Times New Roman" w:cs="Times New Roman"/>
          <w:color w:val="000000" w:themeColor="text1"/>
          <w:sz w:val="24"/>
          <w:szCs w:val="24"/>
          <w:lang w:val="en-US"/>
        </w:rPr>
        <w:t>2023). Brown et al. (2025) further emphasize</w:t>
      </w:r>
      <w:r w:rsidR="37AC33B9" w:rsidRPr="1193C325">
        <w:rPr>
          <w:rFonts w:ascii="Times New Roman" w:eastAsia="Times New Roman" w:hAnsi="Times New Roman" w:cs="Times New Roman"/>
          <w:color w:val="000000" w:themeColor="text1"/>
          <w:sz w:val="24"/>
          <w:szCs w:val="24"/>
          <w:lang w:val="en-US"/>
        </w:rPr>
        <w:t>d</w:t>
      </w:r>
      <w:r w:rsidRPr="1193C325">
        <w:rPr>
          <w:rFonts w:ascii="Times New Roman" w:eastAsia="Times New Roman" w:hAnsi="Times New Roman" w:cs="Times New Roman"/>
          <w:color w:val="000000" w:themeColor="text1"/>
          <w:sz w:val="24"/>
          <w:szCs w:val="24"/>
          <w:lang w:val="en-US"/>
        </w:rPr>
        <w:t xml:space="preserve"> the significant interindividual variability in methadone metabolism, driven by cytochrome P450 enzyme activity, which contributes to differences in drug exposure and duration of effect. These pharmacokinetic considerations directly align with the variability in clinical outcomes observed across studies</w:t>
      </w:r>
      <w:r w:rsidR="45B67497" w:rsidRPr="1193C325">
        <w:rPr>
          <w:rFonts w:ascii="Times New Roman" w:eastAsia="Times New Roman" w:hAnsi="Times New Roman" w:cs="Times New Roman"/>
          <w:color w:val="000000" w:themeColor="text1"/>
          <w:sz w:val="24"/>
          <w:szCs w:val="24"/>
          <w:lang w:val="en-US"/>
        </w:rPr>
        <w:t>.</w:t>
      </w:r>
    </w:p>
    <w:p w14:paraId="4E88286C" w14:textId="56F608C9" w:rsidR="23B78A03" w:rsidRDefault="36794FB6" w:rsidP="1193C325">
      <w:pPr>
        <w:spacing w:line="480" w:lineRule="auto"/>
        <w:ind w:firstLine="720"/>
        <w:rPr>
          <w:rFonts w:ascii="Times New Roman" w:eastAsia="Times New Roman" w:hAnsi="Times New Roman" w:cs="Times New Roman"/>
          <w:color w:val="000000" w:themeColor="text1"/>
          <w:sz w:val="24"/>
          <w:szCs w:val="24"/>
          <w:lang w:val="en-US"/>
        </w:rPr>
      </w:pPr>
      <w:r w:rsidRPr="1193C325">
        <w:rPr>
          <w:rFonts w:ascii="Times New Roman" w:eastAsia="Times New Roman" w:hAnsi="Times New Roman" w:cs="Times New Roman"/>
          <w:color w:val="000000" w:themeColor="text1"/>
          <w:sz w:val="24"/>
          <w:szCs w:val="24"/>
          <w:lang w:val="en-US"/>
        </w:rPr>
        <w:t>M</w:t>
      </w:r>
      <w:r w:rsidR="5DBEA8D6" w:rsidRPr="1193C325">
        <w:rPr>
          <w:rFonts w:ascii="Times New Roman" w:eastAsia="Times New Roman" w:hAnsi="Times New Roman" w:cs="Times New Roman"/>
          <w:color w:val="000000" w:themeColor="text1"/>
          <w:sz w:val="24"/>
          <w:szCs w:val="24"/>
          <w:lang w:val="en-US"/>
        </w:rPr>
        <w:t xml:space="preserve">ethadone’s pharmacologic profile also provides a rationale for its comparable safety outcomes. Although its long half-life raises theoretical concerns regarding delayed respiratory depression, </w:t>
      </w:r>
      <w:r w:rsidR="2AB3AC6E" w:rsidRPr="1193C325">
        <w:rPr>
          <w:rFonts w:ascii="Times New Roman" w:eastAsia="Times New Roman" w:hAnsi="Times New Roman" w:cs="Times New Roman"/>
          <w:color w:val="000000" w:themeColor="text1"/>
          <w:sz w:val="24"/>
          <w:szCs w:val="24"/>
          <w:lang w:val="en-US"/>
        </w:rPr>
        <w:t xml:space="preserve">clinical studies show that a single intraoperative dose produces respiratory effects comparable to short-acting opioids and largely limited to the early postoperative period </w:t>
      </w:r>
      <w:r w:rsidR="5DBEA8D6" w:rsidRPr="1193C325">
        <w:rPr>
          <w:rFonts w:ascii="Times New Roman" w:eastAsia="Times New Roman" w:hAnsi="Times New Roman" w:cs="Times New Roman"/>
          <w:color w:val="000000" w:themeColor="text1"/>
          <w:sz w:val="24"/>
          <w:szCs w:val="24"/>
          <w:lang w:val="en-US"/>
        </w:rPr>
        <w:t xml:space="preserve">(Kendall </w:t>
      </w:r>
      <w:r w:rsidR="5DBEA8D6" w:rsidRPr="1193C325">
        <w:rPr>
          <w:rFonts w:ascii="Times New Roman" w:eastAsia="Times New Roman" w:hAnsi="Times New Roman" w:cs="Times New Roman"/>
          <w:color w:val="000000" w:themeColor="text1"/>
          <w:sz w:val="24"/>
          <w:szCs w:val="24"/>
          <w:lang w:val="en-US"/>
        </w:rPr>
        <w:lastRenderedPageBreak/>
        <w:t>et al., 2020; Xie et al., 2025). Brown et al. (2025) similarly note</w:t>
      </w:r>
      <w:r w:rsidR="3D9852C6" w:rsidRPr="1193C325">
        <w:rPr>
          <w:rFonts w:ascii="Times New Roman" w:eastAsia="Times New Roman" w:hAnsi="Times New Roman" w:cs="Times New Roman"/>
          <w:color w:val="000000" w:themeColor="text1"/>
          <w:sz w:val="24"/>
          <w:szCs w:val="24"/>
          <w:lang w:val="en-US"/>
        </w:rPr>
        <w:t>d</w:t>
      </w:r>
      <w:r w:rsidR="5DBEA8D6" w:rsidRPr="1193C325">
        <w:rPr>
          <w:rFonts w:ascii="Times New Roman" w:eastAsia="Times New Roman" w:hAnsi="Times New Roman" w:cs="Times New Roman"/>
          <w:color w:val="000000" w:themeColor="text1"/>
          <w:sz w:val="24"/>
          <w:szCs w:val="24"/>
          <w:lang w:val="en-US"/>
        </w:rPr>
        <w:t xml:space="preserve"> that safety concerns such as respiratory depression and QT interval prolongation are</w:t>
      </w:r>
      <w:r w:rsidR="47609E3E" w:rsidRPr="1193C325">
        <w:rPr>
          <w:rFonts w:ascii="Times New Roman" w:eastAsia="Times New Roman" w:hAnsi="Times New Roman" w:cs="Times New Roman"/>
          <w:color w:val="000000" w:themeColor="text1"/>
          <w:sz w:val="24"/>
          <w:szCs w:val="24"/>
          <w:lang w:val="en-US"/>
        </w:rPr>
        <w:t xml:space="preserve"> associated </w:t>
      </w:r>
      <w:r w:rsidR="5DBEA8D6" w:rsidRPr="1193C325">
        <w:rPr>
          <w:rFonts w:ascii="Times New Roman" w:eastAsia="Times New Roman" w:hAnsi="Times New Roman" w:cs="Times New Roman"/>
          <w:color w:val="000000" w:themeColor="text1"/>
          <w:sz w:val="24"/>
          <w:szCs w:val="24"/>
          <w:lang w:val="en-US"/>
        </w:rPr>
        <w:t xml:space="preserve">with chronic or high-dose exposure, rather than single-dose </w:t>
      </w:r>
      <w:r w:rsidR="20C6317F" w:rsidRPr="1193C325">
        <w:rPr>
          <w:rFonts w:ascii="Times New Roman" w:eastAsia="Times New Roman" w:hAnsi="Times New Roman" w:cs="Times New Roman"/>
          <w:color w:val="000000" w:themeColor="text1"/>
          <w:sz w:val="24"/>
          <w:szCs w:val="24"/>
          <w:lang w:val="en-US"/>
        </w:rPr>
        <w:t xml:space="preserve">intravenous </w:t>
      </w:r>
      <w:r w:rsidR="5DBEA8D6" w:rsidRPr="1193C325">
        <w:rPr>
          <w:rFonts w:ascii="Times New Roman" w:eastAsia="Times New Roman" w:hAnsi="Times New Roman" w:cs="Times New Roman"/>
          <w:color w:val="000000" w:themeColor="text1"/>
          <w:sz w:val="24"/>
          <w:szCs w:val="24"/>
          <w:lang w:val="en-US"/>
        </w:rPr>
        <w:t xml:space="preserve">administration. This distinction supports the observed absence of clinically significant adverse events in perioperative studies. </w:t>
      </w:r>
      <w:r w:rsidR="212067F8" w:rsidRPr="1193C325">
        <w:rPr>
          <w:rFonts w:ascii="Times New Roman" w:eastAsia="Times New Roman" w:hAnsi="Times New Roman" w:cs="Times New Roman"/>
          <w:color w:val="000000" w:themeColor="text1"/>
          <w:sz w:val="24"/>
          <w:szCs w:val="24"/>
          <w:lang w:val="en-US"/>
        </w:rPr>
        <w:t>W</w:t>
      </w:r>
      <w:r w:rsidR="5DBEA8D6" w:rsidRPr="1193C325">
        <w:rPr>
          <w:rFonts w:ascii="Times New Roman" w:eastAsia="Times New Roman" w:hAnsi="Times New Roman" w:cs="Times New Roman"/>
          <w:color w:val="000000" w:themeColor="text1"/>
          <w:sz w:val="24"/>
          <w:szCs w:val="24"/>
          <w:lang w:val="en-US"/>
        </w:rPr>
        <w:t>hile methadone is associated with QT prolongation at higher or repeated doses, the lack of clinically significant arrhythmogenic events in the perioperative literature suggests that single-dose administration does not produce sufficient cumulative exposure to meaningfully increase cardiac risk (</w:t>
      </w:r>
      <w:proofErr w:type="spellStart"/>
      <w:r w:rsidR="5DBEA8D6" w:rsidRPr="1193C325">
        <w:rPr>
          <w:rFonts w:ascii="Times New Roman" w:eastAsia="Times New Roman" w:hAnsi="Times New Roman" w:cs="Times New Roman"/>
          <w:color w:val="000000" w:themeColor="text1"/>
          <w:sz w:val="24"/>
          <w:szCs w:val="24"/>
          <w:lang w:val="en-US"/>
        </w:rPr>
        <w:t>Lobova</w:t>
      </w:r>
      <w:proofErr w:type="spellEnd"/>
      <w:r w:rsidR="5DBEA8D6" w:rsidRPr="1193C325">
        <w:rPr>
          <w:rFonts w:ascii="Times New Roman" w:eastAsia="Times New Roman" w:hAnsi="Times New Roman" w:cs="Times New Roman"/>
          <w:color w:val="000000" w:themeColor="text1"/>
          <w:sz w:val="24"/>
          <w:szCs w:val="24"/>
          <w:lang w:val="en-US"/>
        </w:rPr>
        <w:t xml:space="preserve"> et al., 2021).</w:t>
      </w:r>
    </w:p>
    <w:p w14:paraId="78891B08" w14:textId="180FD4B8" w:rsidR="23B78A03" w:rsidRDefault="23B78A03" w:rsidP="38688B0C">
      <w:pPr>
        <w:spacing w:line="480" w:lineRule="auto"/>
        <w:contextualSpacing/>
        <w:rPr>
          <w:rFonts w:ascii="Calibri" w:eastAsia="Calibri" w:hAnsi="Calibri" w:cs="Calibri"/>
          <w:sz w:val="24"/>
          <w:szCs w:val="24"/>
          <w:lang w:val="en-US"/>
        </w:rPr>
      </w:pPr>
    </w:p>
    <w:p w14:paraId="5708D345" w14:textId="0494D46B" w:rsidR="23B78A03" w:rsidRDefault="23B78A03" w:rsidP="38688B0C">
      <w:pPr>
        <w:spacing w:line="480" w:lineRule="auto"/>
        <w:contextualSpacing/>
        <w:rPr>
          <w:rFonts w:ascii="Times New Roman" w:eastAsia="Times New Roman" w:hAnsi="Times New Roman" w:cs="Times New Roman"/>
          <w:i/>
          <w:iCs/>
          <w:color w:val="000000" w:themeColor="text1"/>
          <w:sz w:val="24"/>
          <w:szCs w:val="24"/>
          <w:lang w:val="en-US"/>
        </w:rPr>
      </w:pPr>
    </w:p>
    <w:p w14:paraId="73F86522" w14:textId="2B2A1CE2" w:rsidR="23B78A03" w:rsidRDefault="23B78A03" w:rsidP="38688B0C">
      <w:pPr>
        <w:spacing w:line="480" w:lineRule="auto"/>
        <w:contextualSpacing/>
        <w:rPr>
          <w:rFonts w:ascii="Times New Roman" w:eastAsia="Times New Roman" w:hAnsi="Times New Roman" w:cs="Times New Roman"/>
          <w:b/>
          <w:bCs/>
          <w:sz w:val="24"/>
          <w:szCs w:val="24"/>
          <w:lang w:val="en-US"/>
        </w:rPr>
      </w:pPr>
    </w:p>
    <w:p w14:paraId="2D6B54D1" w14:textId="688CDC12" w:rsidR="23B78A03" w:rsidRDefault="38FA516E" w:rsidP="38688B0C">
      <w:pPr>
        <w:spacing w:line="480" w:lineRule="auto"/>
        <w:contextualSpacing/>
        <w:rPr>
          <w:rFonts w:ascii="Times New Roman" w:eastAsia="Times New Roman" w:hAnsi="Times New Roman" w:cs="Times New Roman"/>
          <w:sz w:val="24"/>
          <w:szCs w:val="24"/>
          <w:lang w:val="en-US"/>
        </w:rPr>
        <w:sectPr w:rsidR="23B78A03" w:rsidSect="0079621E">
          <w:pgSz w:w="12240" w:h="15840"/>
          <w:pgMar w:top="1440" w:right="1440" w:bottom="1440" w:left="1440" w:header="720" w:footer="720" w:gutter="0"/>
          <w:pgNumType w:start="15"/>
          <w:cols w:space="720"/>
          <w:titlePg/>
          <w:docGrid w:linePitch="299"/>
        </w:sectPr>
      </w:pPr>
      <w:r w:rsidRPr="38688B0C">
        <w:rPr>
          <w:rFonts w:ascii="Times New Roman" w:eastAsia="Times New Roman" w:hAnsi="Times New Roman" w:cs="Times New Roman"/>
          <w:sz w:val="24"/>
          <w:szCs w:val="24"/>
          <w:lang w:val="en-US"/>
        </w:rPr>
        <w:t xml:space="preserve"> </w:t>
      </w:r>
    </w:p>
    <w:p w14:paraId="18627CDF" w14:textId="77777777" w:rsidR="009642E0" w:rsidRPr="009642E0" w:rsidRDefault="009642E0" w:rsidP="009642E0">
      <w:pPr>
        <w:keepNext/>
        <w:spacing w:after="200" w:line="240" w:lineRule="auto"/>
        <w:rPr>
          <w:rFonts w:ascii="Times New Roman" w:eastAsia="Times New Roman" w:hAnsi="Times New Roman" w:cs="Times New Roman"/>
          <w:i/>
          <w:iCs/>
          <w:kern w:val="2"/>
          <w:sz w:val="24"/>
          <w:szCs w:val="24"/>
          <w:lang w:val="en-US"/>
          <w14:ligatures w14:val="standardContextual"/>
        </w:rPr>
      </w:pPr>
      <w:r w:rsidRPr="009642E0">
        <w:rPr>
          <w:rFonts w:ascii="Times New Roman" w:eastAsia="Times New Roman" w:hAnsi="Times New Roman" w:cs="Times New Roman"/>
          <w:b/>
          <w:bCs/>
          <w:kern w:val="2"/>
          <w:sz w:val="24"/>
          <w:szCs w:val="24"/>
          <w:lang w:val="en-US"/>
          <w14:ligatures w14:val="standardContextual"/>
        </w:rPr>
        <w:lastRenderedPageBreak/>
        <w:t xml:space="preserve">Table </w:t>
      </w:r>
      <w:r w:rsidRPr="009642E0">
        <w:rPr>
          <w:rFonts w:ascii="Times New Roman" w:eastAsia="Calibri" w:hAnsi="Times New Roman" w:cs="Times New Roman"/>
          <w:b/>
          <w:bCs/>
          <w:kern w:val="2"/>
          <w:sz w:val="24"/>
          <w:szCs w:val="24"/>
          <w:lang w:val="en-US"/>
          <w14:ligatures w14:val="standardContextual"/>
        </w:rPr>
        <w:t>4</w:t>
      </w:r>
      <w:r w:rsidRPr="009642E0">
        <w:rPr>
          <w:rFonts w:ascii="Calibri" w:eastAsia="Calibri" w:hAnsi="Calibri" w:cs="Times New Roman"/>
          <w:i/>
          <w:iCs/>
          <w:color w:val="44546A"/>
          <w:kern w:val="2"/>
          <w:sz w:val="18"/>
          <w:szCs w:val="18"/>
          <w:lang w:val="en-US"/>
          <w14:ligatures w14:val="standardContextual"/>
        </w:rPr>
        <w:br/>
      </w:r>
      <w:r w:rsidRPr="009642E0">
        <w:rPr>
          <w:rFonts w:ascii="Times New Roman" w:eastAsia="Times New Roman" w:hAnsi="Times New Roman" w:cs="Times New Roman"/>
          <w:i/>
          <w:iCs/>
          <w:kern w:val="2"/>
          <w:sz w:val="24"/>
          <w:szCs w:val="24"/>
          <w:lang w:val="en-US"/>
          <w14:ligatures w14:val="standardContextual"/>
        </w:rPr>
        <w:t>Study Characteristics and Quality Assessment of Intraoperative Methadone Studies</w:t>
      </w:r>
    </w:p>
    <w:tbl>
      <w:tblPr>
        <w:tblStyle w:val="TableGrid4"/>
        <w:tblW w:w="12950" w:type="dxa"/>
        <w:tblLook w:val="04A0" w:firstRow="1" w:lastRow="0" w:firstColumn="1" w:lastColumn="0" w:noHBand="0" w:noVBand="1"/>
      </w:tblPr>
      <w:tblGrid>
        <w:gridCol w:w="1470"/>
        <w:gridCol w:w="2790"/>
        <w:gridCol w:w="3855"/>
        <w:gridCol w:w="3510"/>
        <w:gridCol w:w="1325"/>
      </w:tblGrid>
      <w:tr w:rsidR="009642E0" w:rsidRPr="009642E0" w14:paraId="3C0638FB" w14:textId="77777777" w:rsidTr="0320F0AF">
        <w:trPr>
          <w:trHeight w:val="570"/>
        </w:trPr>
        <w:tc>
          <w:tcPr>
            <w:tcW w:w="1470" w:type="dxa"/>
          </w:tcPr>
          <w:p w14:paraId="155D3F2C"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Author(s) and Year</w:t>
            </w:r>
          </w:p>
        </w:tc>
        <w:tc>
          <w:tcPr>
            <w:tcW w:w="2790" w:type="dxa"/>
          </w:tcPr>
          <w:p w14:paraId="354D2B64"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Methodology (Level of Evidence)</w:t>
            </w:r>
          </w:p>
        </w:tc>
        <w:tc>
          <w:tcPr>
            <w:tcW w:w="3855" w:type="dxa"/>
          </w:tcPr>
          <w:p w14:paraId="6C865BD7"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Sample Characteristics and Variables</w:t>
            </w:r>
          </w:p>
        </w:tc>
        <w:tc>
          <w:tcPr>
            <w:tcW w:w="3510" w:type="dxa"/>
          </w:tcPr>
          <w:p w14:paraId="797E3000"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Outcomes</w:t>
            </w:r>
          </w:p>
        </w:tc>
        <w:tc>
          <w:tcPr>
            <w:tcW w:w="1325" w:type="dxa"/>
          </w:tcPr>
          <w:p w14:paraId="79047B97"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CASP Quality Rating (Score)</w:t>
            </w:r>
          </w:p>
        </w:tc>
      </w:tr>
      <w:tr w:rsidR="009642E0" w:rsidRPr="009642E0" w14:paraId="1CA54DA3" w14:textId="77777777" w:rsidTr="0320F0AF">
        <w:tc>
          <w:tcPr>
            <w:tcW w:w="1470" w:type="dxa"/>
          </w:tcPr>
          <w:p w14:paraId="55C4C907" w14:textId="77777777" w:rsidR="009642E0" w:rsidRPr="009642E0" w:rsidRDefault="009642E0" w:rsidP="23B78A03">
            <w:pPr>
              <w:rPr>
                <w:rFonts w:ascii="Times New Roman" w:eastAsia="Times New Roman" w:hAnsi="Times New Roman"/>
                <w:b/>
                <w:bCs/>
                <w:sz w:val="20"/>
                <w:szCs w:val="20"/>
              </w:rPr>
            </w:pPr>
            <w:r w:rsidRPr="23B78A03">
              <w:rPr>
                <w:rFonts w:ascii="Times New Roman" w:eastAsia="Times New Roman" w:hAnsi="Times New Roman"/>
                <w:b/>
                <w:bCs/>
                <w:sz w:val="20"/>
                <w:szCs w:val="20"/>
              </w:rPr>
              <w:t>Kendall et al., 2020</w:t>
            </w:r>
          </w:p>
        </w:tc>
        <w:tc>
          <w:tcPr>
            <w:tcW w:w="2790" w:type="dxa"/>
          </w:tcPr>
          <w:p w14:paraId="7960F532"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Meta-analysis of randomized controlled trials (RCTs) between 1991-2018 (Level I)</w:t>
            </w:r>
          </w:p>
          <w:p w14:paraId="17AB6F56" w14:textId="77777777" w:rsidR="009642E0" w:rsidRPr="009642E0" w:rsidRDefault="009642E0" w:rsidP="23B78A03">
            <w:pPr>
              <w:rPr>
                <w:rFonts w:ascii="Times New Roman" w:eastAsia="Times New Roman" w:hAnsi="Times New Roman"/>
                <w:sz w:val="20"/>
                <w:szCs w:val="20"/>
              </w:rPr>
            </w:pPr>
          </w:p>
        </w:tc>
        <w:tc>
          <w:tcPr>
            <w:tcW w:w="3855" w:type="dxa"/>
          </w:tcPr>
          <w:p w14:paraId="26DAE693"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7 RCTs; 337 adult surgical patients</w:t>
            </w:r>
          </w:p>
          <w:p w14:paraId="36CC4EF3"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IV methadone or morphine.</w:t>
            </w:r>
          </w:p>
        </w:tc>
        <w:tc>
          <w:tcPr>
            <w:tcW w:w="3510" w:type="dxa"/>
          </w:tcPr>
          <w:p w14:paraId="572E63AD" w14:textId="126D1D89"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4BF27A47" w14:textId="4E959BE0"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3049D4BA"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1B72C2B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17/20 (High quality)</w:t>
            </w:r>
          </w:p>
        </w:tc>
      </w:tr>
      <w:tr w:rsidR="009642E0" w:rsidRPr="009642E0" w14:paraId="001482A5" w14:textId="77777777" w:rsidTr="0320F0AF">
        <w:tc>
          <w:tcPr>
            <w:tcW w:w="1470" w:type="dxa"/>
          </w:tcPr>
          <w:p w14:paraId="3503837E" w14:textId="77777777" w:rsidR="009642E0" w:rsidRPr="009642E0" w:rsidRDefault="009642E0" w:rsidP="23B78A03">
            <w:pPr>
              <w:rPr>
                <w:rFonts w:ascii="Times New Roman" w:eastAsia="Times New Roman" w:hAnsi="Times New Roman"/>
                <w:b/>
                <w:bCs/>
                <w:sz w:val="20"/>
                <w:szCs w:val="20"/>
              </w:rPr>
            </w:pPr>
            <w:r w:rsidRPr="23B78A03">
              <w:rPr>
                <w:rFonts w:ascii="Times New Roman" w:eastAsia="Times New Roman" w:hAnsi="Times New Roman"/>
                <w:b/>
                <w:bCs/>
                <w:sz w:val="20"/>
                <w:szCs w:val="20"/>
              </w:rPr>
              <w:t>Rajkovic et al., 2025</w:t>
            </w:r>
          </w:p>
        </w:tc>
        <w:tc>
          <w:tcPr>
            <w:tcW w:w="2790" w:type="dxa"/>
          </w:tcPr>
          <w:p w14:paraId="62D84C18"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 review of 4 RCTs, 2 retrospective cohorts, 1 prospective study, 1 quality- improvement study (Level I)</w:t>
            </w:r>
          </w:p>
        </w:tc>
        <w:tc>
          <w:tcPr>
            <w:tcW w:w="3855" w:type="dxa"/>
          </w:tcPr>
          <w:p w14:paraId="1EEC0DF6" w14:textId="77777777" w:rsidR="009642E0" w:rsidRPr="009642E0" w:rsidRDefault="1C8FB7B0" w:rsidP="0320F0AF">
            <w:pPr>
              <w:rPr>
                <w:rFonts w:ascii="Times New Roman" w:eastAsia="Times New Roman" w:hAnsi="Times New Roman"/>
                <w:sz w:val="20"/>
                <w:szCs w:val="20"/>
              </w:rPr>
            </w:pPr>
            <w:r w:rsidRPr="0320F0AF">
              <w:rPr>
                <w:rFonts w:ascii="Times New Roman" w:eastAsia="Times New Roman" w:hAnsi="Times New Roman"/>
                <w:sz w:val="20"/>
                <w:szCs w:val="20"/>
              </w:rPr>
              <w:t>672 adult and adolescent spine surgery patients; methadone vs hydromorphone, sufentanil, or combination therapy</w:t>
            </w:r>
          </w:p>
        </w:tc>
        <w:tc>
          <w:tcPr>
            <w:tcW w:w="3510" w:type="dxa"/>
          </w:tcPr>
          <w:p w14:paraId="60E056A7"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2540FF7E" w14:textId="21DA38AF"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49965C37"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285C82D9"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17/20 (High quality)</w:t>
            </w:r>
          </w:p>
        </w:tc>
      </w:tr>
      <w:tr w:rsidR="009642E0" w:rsidRPr="009642E0" w14:paraId="1E2C64CA" w14:textId="77777777" w:rsidTr="0320F0AF">
        <w:tc>
          <w:tcPr>
            <w:tcW w:w="1470" w:type="dxa"/>
          </w:tcPr>
          <w:p w14:paraId="2DE4B62E" w14:textId="702F488C" w:rsidR="009642E0" w:rsidRPr="009642E0" w:rsidRDefault="004B313F" w:rsidP="23B78A03">
            <w:pPr>
              <w:rPr>
                <w:rFonts w:ascii="Times New Roman" w:eastAsia="Times New Roman" w:hAnsi="Times New Roman"/>
                <w:b/>
                <w:bCs/>
                <w:sz w:val="20"/>
                <w:szCs w:val="20"/>
              </w:rPr>
            </w:pPr>
            <w:r>
              <w:rPr>
                <w:rFonts w:ascii="Times New Roman" w:eastAsia="Times New Roman" w:hAnsi="Times New Roman"/>
                <w:b/>
                <w:bCs/>
                <w:sz w:val="20"/>
                <w:szCs w:val="20"/>
              </w:rPr>
              <w:t>Cheriyan et al., 2021</w:t>
            </w:r>
          </w:p>
        </w:tc>
        <w:tc>
          <w:tcPr>
            <w:tcW w:w="2790" w:type="dxa"/>
          </w:tcPr>
          <w:p w14:paraId="3A2DCC11"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 review and meta-analysis of randomized controlled trials (Level I)</w:t>
            </w:r>
          </w:p>
        </w:tc>
        <w:tc>
          <w:tcPr>
            <w:tcW w:w="3855" w:type="dxa"/>
          </w:tcPr>
          <w:p w14:paraId="09FA88FD"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632 adult surgical patients; IV methadone compared with short-acting opioids (fentanyl, morphine, hydromorphone)</w:t>
            </w:r>
          </w:p>
        </w:tc>
        <w:tc>
          <w:tcPr>
            <w:tcW w:w="3510" w:type="dxa"/>
          </w:tcPr>
          <w:p w14:paraId="24F1AE42" w14:textId="26A5E337" w:rsidR="009642E0" w:rsidRPr="009642E0" w:rsidRDefault="009642E0" w:rsidP="23B78A03">
            <w:pPr>
              <w:spacing w:before="100" w:beforeAutospacing="1" w:afterAutospacing="1"/>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42120DD9" w14:textId="74F3C123" w:rsidR="009642E0" w:rsidRPr="009642E0" w:rsidRDefault="009642E0" w:rsidP="23B78A03">
            <w:pPr>
              <w:spacing w:before="100" w:beforeAutospacing="1" w:afterAutospacing="1"/>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49AA08AF"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1B1C0D06"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16/20 (High quality)</w:t>
            </w:r>
          </w:p>
        </w:tc>
      </w:tr>
      <w:tr w:rsidR="009642E0" w:rsidRPr="009642E0" w14:paraId="24A24192" w14:textId="77777777" w:rsidTr="0320F0AF">
        <w:tc>
          <w:tcPr>
            <w:tcW w:w="1470" w:type="dxa"/>
          </w:tcPr>
          <w:p w14:paraId="28236968" w14:textId="77777777" w:rsidR="009642E0" w:rsidRPr="009642E0" w:rsidRDefault="009642E0" w:rsidP="23B78A03">
            <w:pPr>
              <w:rPr>
                <w:rFonts w:ascii="Times New Roman" w:eastAsia="Times New Roman" w:hAnsi="Times New Roman"/>
                <w:b/>
                <w:bCs/>
                <w:sz w:val="20"/>
                <w:szCs w:val="20"/>
              </w:rPr>
            </w:pPr>
            <w:r w:rsidRPr="23B78A03">
              <w:rPr>
                <w:rFonts w:ascii="Times New Roman" w:eastAsia="Times New Roman" w:hAnsi="Times New Roman"/>
                <w:b/>
                <w:bCs/>
                <w:sz w:val="20"/>
                <w:szCs w:val="20"/>
              </w:rPr>
              <w:t>Xie et al., 2025</w:t>
            </w:r>
          </w:p>
        </w:tc>
        <w:tc>
          <w:tcPr>
            <w:tcW w:w="2790" w:type="dxa"/>
          </w:tcPr>
          <w:p w14:paraId="718F9451"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Systematic/clinical review of multiple study types (Level I)</w:t>
            </w:r>
          </w:p>
        </w:tc>
        <w:tc>
          <w:tcPr>
            <w:tcW w:w="3855" w:type="dxa"/>
          </w:tcPr>
          <w:p w14:paraId="2C39E9F4"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Adult and pediatric surgical patients across multiple procedures; methadone vs various opioids</w:t>
            </w:r>
          </w:p>
        </w:tc>
        <w:tc>
          <w:tcPr>
            <w:tcW w:w="3510" w:type="dxa"/>
          </w:tcPr>
          <w:p w14:paraId="1FF8D9A3" w14:textId="38EBD7CF"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28C213D0"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387EE4FC" w14:textId="77777777" w:rsidR="009642E0" w:rsidRPr="009642E0" w:rsidRDefault="009642E0" w:rsidP="23B78A03">
            <w:pPr>
              <w:spacing w:before="100" w:beforeAutospacing="1" w:afterAutospacing="1"/>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772369E4"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16/20 (High quality)</w:t>
            </w:r>
          </w:p>
        </w:tc>
      </w:tr>
      <w:tr w:rsidR="009642E0" w:rsidRPr="009642E0" w14:paraId="020E8ECF" w14:textId="77777777" w:rsidTr="0320F0AF">
        <w:tc>
          <w:tcPr>
            <w:tcW w:w="1470" w:type="dxa"/>
          </w:tcPr>
          <w:p w14:paraId="7FBA4DAF" w14:textId="4B385588" w:rsidR="009642E0" w:rsidRPr="009642E0" w:rsidRDefault="1C8FB7B0" w:rsidP="0320F0AF">
            <w:pPr>
              <w:rPr>
                <w:rFonts w:ascii="Times New Roman" w:eastAsia="Times New Roman" w:hAnsi="Times New Roman"/>
                <w:b/>
                <w:bCs/>
                <w:sz w:val="20"/>
                <w:szCs w:val="20"/>
              </w:rPr>
            </w:pPr>
            <w:r w:rsidRPr="0320F0AF">
              <w:rPr>
                <w:rFonts w:ascii="Times New Roman" w:eastAsia="Times New Roman" w:hAnsi="Times New Roman"/>
                <w:b/>
                <w:bCs/>
                <w:sz w:val="20"/>
                <w:szCs w:val="20"/>
              </w:rPr>
              <w:t xml:space="preserve">Hanna </w:t>
            </w:r>
            <w:r w:rsidR="7840FC0A" w:rsidRPr="0320F0AF">
              <w:rPr>
                <w:rFonts w:ascii="Times New Roman" w:eastAsia="Times New Roman" w:hAnsi="Times New Roman"/>
                <w:b/>
                <w:bCs/>
                <w:sz w:val="20"/>
                <w:szCs w:val="20"/>
              </w:rPr>
              <w:t xml:space="preserve">&amp; </w:t>
            </w:r>
            <w:r w:rsidRPr="0320F0AF">
              <w:rPr>
                <w:rFonts w:ascii="Times New Roman" w:eastAsia="Times New Roman" w:hAnsi="Times New Roman"/>
                <w:b/>
                <w:bCs/>
                <w:sz w:val="20"/>
                <w:szCs w:val="20"/>
              </w:rPr>
              <w:t>Senderovich, 2021</w:t>
            </w:r>
          </w:p>
        </w:tc>
        <w:tc>
          <w:tcPr>
            <w:tcW w:w="2790" w:type="dxa"/>
          </w:tcPr>
          <w:p w14:paraId="29433600"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 review of 40 RCTs (Level I)</w:t>
            </w:r>
          </w:p>
        </w:tc>
        <w:tc>
          <w:tcPr>
            <w:tcW w:w="3855" w:type="dxa"/>
          </w:tcPr>
          <w:p w14:paraId="127B688F"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Adults in studies of methadone for perioperative and chronic pain. Methadone compared with or combined with conventional opioids and adjunctive analgesics</w:t>
            </w:r>
          </w:p>
        </w:tc>
        <w:tc>
          <w:tcPr>
            <w:tcW w:w="3510" w:type="dxa"/>
          </w:tcPr>
          <w:p w14:paraId="3C8BFDFD" w14:textId="477B7271"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2A8D06F4" w14:textId="1D6E8B0C"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7F507A21"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4D6A4CB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15/20 (Moderate quality)</w:t>
            </w:r>
          </w:p>
        </w:tc>
      </w:tr>
      <w:tr w:rsidR="009642E0" w:rsidRPr="009642E0" w14:paraId="7CD5F253" w14:textId="77777777" w:rsidTr="0320F0AF">
        <w:tc>
          <w:tcPr>
            <w:tcW w:w="1470" w:type="dxa"/>
          </w:tcPr>
          <w:p w14:paraId="03894BC2" w14:textId="77777777" w:rsidR="009642E0" w:rsidRPr="009642E0" w:rsidRDefault="1C8FB7B0" w:rsidP="0320F0AF">
            <w:pPr>
              <w:rPr>
                <w:rFonts w:ascii="Times New Roman" w:eastAsia="Times New Roman" w:hAnsi="Times New Roman"/>
                <w:b/>
                <w:bCs/>
                <w:sz w:val="20"/>
                <w:szCs w:val="20"/>
              </w:rPr>
            </w:pPr>
            <w:r w:rsidRPr="0320F0AF">
              <w:rPr>
                <w:rFonts w:ascii="Times New Roman" w:eastAsia="Times New Roman" w:hAnsi="Times New Roman"/>
                <w:b/>
                <w:bCs/>
                <w:sz w:val="20"/>
                <w:szCs w:val="20"/>
              </w:rPr>
              <w:lastRenderedPageBreak/>
              <w:t>Laguado et al., 2025</w:t>
            </w:r>
          </w:p>
        </w:tc>
        <w:tc>
          <w:tcPr>
            <w:tcW w:w="2790" w:type="dxa"/>
          </w:tcPr>
          <w:p w14:paraId="452BF991"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 review of 7 clinical trials, 2 retrospective studies, 1 systematic review (Level I)</w:t>
            </w:r>
          </w:p>
        </w:tc>
        <w:tc>
          <w:tcPr>
            <w:tcW w:w="3855" w:type="dxa"/>
          </w:tcPr>
          <w:p w14:paraId="431200F7"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Adult ambulatory and next-day surgical patients. IV methadone or fentanyl, morphine, or hydromorphone</w:t>
            </w:r>
          </w:p>
        </w:tc>
        <w:tc>
          <w:tcPr>
            <w:tcW w:w="3510" w:type="dxa"/>
          </w:tcPr>
          <w:p w14:paraId="545B70CA" w14:textId="3DF6FA8D"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w:t>
            </w:r>
            <w:r w:rsidR="5DA002FF" w:rsidRPr="23B78A03">
              <w:rPr>
                <w:rFonts w:ascii="Times New Roman" w:eastAsia="Times New Roman" w:hAnsi="Times New Roman"/>
                <w:sz w:val="20"/>
                <w:szCs w:val="20"/>
              </w:rPr>
              <w:t>p</w:t>
            </w:r>
          </w:p>
          <w:p w14:paraId="30B18E67" w14:textId="61C96329"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26B0CFC0"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681EB36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15/20 (Moderate quality)</w:t>
            </w:r>
          </w:p>
        </w:tc>
      </w:tr>
      <w:tr w:rsidR="009642E0" w:rsidRPr="009642E0" w14:paraId="2FB5C9FE" w14:textId="77777777" w:rsidTr="0320F0AF">
        <w:trPr>
          <w:trHeight w:val="1320"/>
        </w:trPr>
        <w:tc>
          <w:tcPr>
            <w:tcW w:w="1470" w:type="dxa"/>
          </w:tcPr>
          <w:p w14:paraId="36BE4DEB" w14:textId="77777777" w:rsidR="009642E0" w:rsidRPr="009642E0" w:rsidRDefault="1C8FB7B0" w:rsidP="0320F0AF">
            <w:pPr>
              <w:rPr>
                <w:rFonts w:ascii="Times New Roman" w:eastAsia="Times New Roman" w:hAnsi="Times New Roman"/>
                <w:b/>
                <w:bCs/>
                <w:sz w:val="20"/>
                <w:szCs w:val="20"/>
              </w:rPr>
            </w:pPr>
            <w:r w:rsidRPr="0320F0AF">
              <w:rPr>
                <w:rFonts w:ascii="Times New Roman" w:eastAsia="Times New Roman" w:hAnsi="Times New Roman"/>
                <w:b/>
                <w:bCs/>
                <w:sz w:val="20"/>
                <w:szCs w:val="20"/>
              </w:rPr>
              <w:t>Lobova et al., 2021</w:t>
            </w:r>
          </w:p>
        </w:tc>
        <w:tc>
          <w:tcPr>
            <w:tcW w:w="2790" w:type="dxa"/>
          </w:tcPr>
          <w:p w14:paraId="3DBFFC46"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Systematic review of 3 randomized controlled trials and one retrospective chart review (Level I)</w:t>
            </w:r>
          </w:p>
        </w:tc>
        <w:tc>
          <w:tcPr>
            <w:tcW w:w="3855" w:type="dxa"/>
          </w:tcPr>
          <w:p w14:paraId="093DE359" w14:textId="2C1B2410"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 xml:space="preserve">435 adult cardiothoracic surgery patients. IV methadone or </w:t>
            </w:r>
            <w:r w:rsidR="771ABA6B" w:rsidRPr="23B78A03">
              <w:rPr>
                <w:rFonts w:ascii="Times New Roman" w:eastAsia="Times New Roman" w:hAnsi="Times New Roman"/>
                <w:sz w:val="20"/>
                <w:szCs w:val="20"/>
              </w:rPr>
              <w:t>morphine,</w:t>
            </w:r>
            <w:r w:rsidRPr="23B78A03">
              <w:rPr>
                <w:rFonts w:ascii="Times New Roman" w:eastAsia="Times New Roman" w:hAnsi="Times New Roman"/>
                <w:sz w:val="20"/>
                <w:szCs w:val="20"/>
              </w:rPr>
              <w:t xml:space="preserve"> or fentanyl.</w:t>
            </w:r>
            <w:r w:rsidR="005D598F">
              <w:rPr>
                <w:rFonts w:ascii="Times New Roman" w:eastAsia="Times New Roman" w:hAnsi="Times New Roman"/>
                <w:sz w:val="20"/>
                <w:szCs w:val="20"/>
              </w:rPr>
              <w:t xml:space="preserve"> </w:t>
            </w:r>
          </w:p>
        </w:tc>
        <w:tc>
          <w:tcPr>
            <w:tcW w:w="3510" w:type="dxa"/>
          </w:tcPr>
          <w:p w14:paraId="1FF758F1" w14:textId="2EB56AD9"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1C0C7467" w14:textId="22441984"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24DA4AC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65740A23"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14/20 (Moderate quality)</w:t>
            </w:r>
          </w:p>
        </w:tc>
      </w:tr>
      <w:tr w:rsidR="009642E0" w:rsidRPr="009642E0" w14:paraId="1193BCA4" w14:textId="77777777" w:rsidTr="0320F0AF">
        <w:tc>
          <w:tcPr>
            <w:tcW w:w="1470" w:type="dxa"/>
          </w:tcPr>
          <w:p w14:paraId="6C12D09D" w14:textId="77777777" w:rsidR="009642E0" w:rsidRPr="009642E0" w:rsidRDefault="009642E0" w:rsidP="23B78A03">
            <w:pPr>
              <w:rPr>
                <w:rFonts w:ascii="Times New Roman" w:eastAsia="Times New Roman" w:hAnsi="Times New Roman"/>
                <w:b/>
                <w:bCs/>
                <w:sz w:val="20"/>
                <w:szCs w:val="20"/>
              </w:rPr>
            </w:pPr>
            <w:r w:rsidRPr="23B78A03">
              <w:rPr>
                <w:rFonts w:ascii="Times New Roman" w:eastAsia="Times New Roman" w:hAnsi="Times New Roman"/>
                <w:b/>
                <w:bCs/>
                <w:sz w:val="20"/>
                <w:szCs w:val="20"/>
              </w:rPr>
              <w:t>Pontes et al., 2021</w:t>
            </w:r>
          </w:p>
        </w:tc>
        <w:tc>
          <w:tcPr>
            <w:tcW w:w="2790" w:type="dxa"/>
          </w:tcPr>
          <w:p w14:paraId="28DA11D8"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Randomized controlled trial (Level II)</w:t>
            </w:r>
          </w:p>
        </w:tc>
        <w:tc>
          <w:tcPr>
            <w:tcW w:w="3855" w:type="dxa"/>
          </w:tcPr>
          <w:p w14:paraId="50EB5A38" w14:textId="2521FB9F"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137 adult patients undergoing laparoscopic bariatric surgery. IV methadone or morphine both dosed at 0.1</w:t>
            </w:r>
            <w:r w:rsidR="0077578E">
              <w:rPr>
                <w:rFonts w:ascii="Times New Roman" w:eastAsia="Times New Roman" w:hAnsi="Times New Roman"/>
                <w:sz w:val="20"/>
                <w:szCs w:val="20"/>
              </w:rPr>
              <w:t xml:space="preserve"> </w:t>
            </w:r>
            <w:r w:rsidRPr="23B78A03">
              <w:rPr>
                <w:rFonts w:ascii="Times New Roman" w:eastAsia="Times New Roman" w:hAnsi="Times New Roman"/>
                <w:sz w:val="20"/>
                <w:szCs w:val="20"/>
              </w:rPr>
              <w:t>mg/kg 20 minutes before end of surgery</w:t>
            </w:r>
          </w:p>
        </w:tc>
        <w:tc>
          <w:tcPr>
            <w:tcW w:w="3510" w:type="dxa"/>
          </w:tcPr>
          <w:p w14:paraId="08AE3316" w14:textId="348C4C7E"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4AAB2A74" w14:textId="0B0F257E"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23887EE1"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4678564E"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21/22 (High quality)</w:t>
            </w:r>
          </w:p>
        </w:tc>
      </w:tr>
      <w:tr w:rsidR="009642E0" w:rsidRPr="009642E0" w14:paraId="1D8CC3CC" w14:textId="77777777" w:rsidTr="0320F0AF">
        <w:tc>
          <w:tcPr>
            <w:tcW w:w="1470" w:type="dxa"/>
          </w:tcPr>
          <w:p w14:paraId="6BB88BEF"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Arriaza et al., 2021</w:t>
            </w:r>
          </w:p>
        </w:tc>
        <w:tc>
          <w:tcPr>
            <w:tcW w:w="2790" w:type="dxa"/>
          </w:tcPr>
          <w:p w14:paraId="21DD3E0C"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Randomized controlled trial (Level II)</w:t>
            </w:r>
          </w:p>
          <w:p w14:paraId="3FA20D54" w14:textId="77777777" w:rsidR="009642E0" w:rsidRPr="009642E0" w:rsidRDefault="009642E0" w:rsidP="23B78A03">
            <w:pPr>
              <w:spacing w:after="160" w:line="278" w:lineRule="auto"/>
              <w:rPr>
                <w:rFonts w:ascii="Times New Roman" w:eastAsia="Times New Roman" w:hAnsi="Times New Roman"/>
                <w:sz w:val="20"/>
                <w:szCs w:val="20"/>
              </w:rPr>
            </w:pPr>
          </w:p>
        </w:tc>
        <w:tc>
          <w:tcPr>
            <w:tcW w:w="3855" w:type="dxa"/>
          </w:tcPr>
          <w:p w14:paraId="46E6277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78 adult laparoscopic cholecystectomy patients. IV methadone or morphine</w:t>
            </w:r>
          </w:p>
        </w:tc>
        <w:tc>
          <w:tcPr>
            <w:tcW w:w="3510" w:type="dxa"/>
          </w:tcPr>
          <w:p w14:paraId="4A17DD0E" w14:textId="6DE5AF32"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580AA6C4" w14:textId="751E38FF"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2BAC8997"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15273E46"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20/22 (High quality)</w:t>
            </w:r>
          </w:p>
        </w:tc>
      </w:tr>
      <w:tr w:rsidR="009642E0" w:rsidRPr="009642E0" w14:paraId="1623DB17" w14:textId="77777777" w:rsidTr="0320F0AF">
        <w:tc>
          <w:tcPr>
            <w:tcW w:w="1470" w:type="dxa"/>
          </w:tcPr>
          <w:p w14:paraId="3C401DB6"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Murphy et al., 2021</w:t>
            </w:r>
          </w:p>
        </w:tc>
        <w:tc>
          <w:tcPr>
            <w:tcW w:w="2790" w:type="dxa"/>
          </w:tcPr>
          <w:p w14:paraId="02C0963A"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Randomized controlled trial (Level II)</w:t>
            </w:r>
          </w:p>
        </w:tc>
        <w:tc>
          <w:tcPr>
            <w:tcW w:w="3855" w:type="dxa"/>
          </w:tcPr>
          <w:p w14:paraId="314FF102"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127 adults undergo spinal surgery. IV methadone or IV methadone + ketamine</w:t>
            </w:r>
          </w:p>
        </w:tc>
        <w:tc>
          <w:tcPr>
            <w:tcW w:w="3510" w:type="dxa"/>
          </w:tcPr>
          <w:p w14:paraId="6D58B4B2" w14:textId="5F68E8CE"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 ketamine group</w:t>
            </w:r>
          </w:p>
          <w:p w14:paraId="7BE5F1A4" w14:textId="0452B1CF"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 ketamine group</w:t>
            </w:r>
          </w:p>
          <w:p w14:paraId="3F741FE2"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64F7EBF4"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19/22 (High quality)</w:t>
            </w:r>
          </w:p>
        </w:tc>
      </w:tr>
      <w:tr w:rsidR="0320F0AF" w14:paraId="282BE628" w14:textId="77777777" w:rsidTr="0320F0AF">
        <w:trPr>
          <w:trHeight w:val="300"/>
        </w:trPr>
        <w:tc>
          <w:tcPr>
            <w:tcW w:w="1470" w:type="dxa"/>
          </w:tcPr>
          <w:p w14:paraId="52581258" w14:textId="569DF511" w:rsidR="6A1B4356" w:rsidRDefault="6A1B4356" w:rsidP="0320F0AF">
            <w:pPr>
              <w:spacing w:line="278" w:lineRule="auto"/>
              <w:rPr>
                <w:rFonts w:ascii="Times New Roman" w:eastAsia="Times New Roman" w:hAnsi="Times New Roman"/>
                <w:b/>
                <w:bCs/>
                <w:sz w:val="20"/>
                <w:szCs w:val="20"/>
              </w:rPr>
            </w:pPr>
            <w:r w:rsidRPr="0320F0AF">
              <w:rPr>
                <w:rFonts w:ascii="Times New Roman" w:eastAsia="Times New Roman" w:hAnsi="Times New Roman"/>
                <w:b/>
                <w:bCs/>
                <w:sz w:val="20"/>
                <w:szCs w:val="20"/>
              </w:rPr>
              <w:t>Uhrbrand et al., 2025</w:t>
            </w:r>
          </w:p>
        </w:tc>
        <w:tc>
          <w:tcPr>
            <w:tcW w:w="2790" w:type="dxa"/>
          </w:tcPr>
          <w:p w14:paraId="67A92698" w14:textId="78AC43CC" w:rsidR="6A1B4356" w:rsidRDefault="6A1B4356" w:rsidP="0320F0AF">
            <w:pPr>
              <w:rPr>
                <w:rFonts w:ascii="Times New Roman" w:eastAsia="Times New Roman" w:hAnsi="Times New Roman"/>
                <w:sz w:val="20"/>
                <w:szCs w:val="20"/>
              </w:rPr>
            </w:pPr>
            <w:r w:rsidRPr="0320F0AF">
              <w:rPr>
                <w:rFonts w:ascii="Times New Roman" w:eastAsia="Times New Roman" w:hAnsi="Times New Roman"/>
                <w:sz w:val="20"/>
                <w:szCs w:val="20"/>
              </w:rPr>
              <w:t>Randomized controlled trial (Level II)</w:t>
            </w:r>
          </w:p>
        </w:tc>
        <w:tc>
          <w:tcPr>
            <w:tcW w:w="3855" w:type="dxa"/>
          </w:tcPr>
          <w:p w14:paraId="178110E4" w14:textId="4AF2831D" w:rsidR="6A1B4356" w:rsidRDefault="6A1B4356" w:rsidP="0320F0AF">
            <w:pPr>
              <w:spacing w:line="278" w:lineRule="auto"/>
              <w:rPr>
                <w:rFonts w:ascii="Times New Roman" w:eastAsia="Times New Roman" w:hAnsi="Times New Roman"/>
                <w:sz w:val="20"/>
                <w:szCs w:val="20"/>
              </w:rPr>
            </w:pPr>
            <w:r w:rsidRPr="0320F0AF">
              <w:rPr>
                <w:rFonts w:ascii="Times New Roman" w:eastAsia="Times New Roman" w:hAnsi="Times New Roman"/>
                <w:sz w:val="20"/>
                <w:szCs w:val="20"/>
              </w:rPr>
              <w:t>113 adult patients undergoing lumbar fusion surgery; IV methadone (pre-incision or pre-closure) vs morphine</w:t>
            </w:r>
          </w:p>
        </w:tc>
        <w:tc>
          <w:tcPr>
            <w:tcW w:w="3510" w:type="dxa"/>
          </w:tcPr>
          <w:p w14:paraId="3C62E2F4" w14:textId="3AE79C55" w:rsidR="6A1B4356" w:rsidRDefault="6A1B4356" w:rsidP="0320F0AF">
            <w:pPr>
              <w:spacing w:line="278" w:lineRule="auto"/>
              <w:rPr>
                <w:rFonts w:ascii="Times New Roman" w:eastAsia="Times New Roman" w:hAnsi="Times New Roman"/>
                <w:sz w:val="20"/>
                <w:szCs w:val="20"/>
              </w:rPr>
            </w:pPr>
            <w:r w:rsidRPr="0320F0AF">
              <w:rPr>
                <w:rFonts w:ascii="Times New Roman" w:eastAsia="Times New Roman" w:hAnsi="Times New Roman"/>
                <w:sz w:val="20"/>
                <w:szCs w:val="20"/>
              </w:rPr>
              <w:t>Pain: Similar early; lower at 48–72 hrs in pre-incision group</w:t>
            </w:r>
          </w:p>
          <w:p w14:paraId="7030D2ED" w14:textId="2CFC6943" w:rsidR="0320F0AF" w:rsidRDefault="0320F0AF" w:rsidP="0320F0AF">
            <w:pPr>
              <w:spacing w:line="278" w:lineRule="auto"/>
              <w:rPr>
                <w:rFonts w:ascii="Times New Roman" w:eastAsia="Times New Roman" w:hAnsi="Times New Roman"/>
                <w:sz w:val="20"/>
                <w:szCs w:val="20"/>
              </w:rPr>
            </w:pPr>
          </w:p>
          <w:p w14:paraId="7DE7C27F" w14:textId="15854B34" w:rsidR="6A1B4356" w:rsidRDefault="6A1B4356" w:rsidP="0320F0AF">
            <w:pPr>
              <w:spacing w:line="278" w:lineRule="auto"/>
            </w:pPr>
            <w:r w:rsidRPr="0320F0AF">
              <w:rPr>
                <w:rFonts w:ascii="Times New Roman" w:eastAsia="Times New Roman" w:hAnsi="Times New Roman"/>
                <w:sz w:val="20"/>
                <w:szCs w:val="20"/>
              </w:rPr>
              <w:t>Opioids: No significant difference</w:t>
            </w:r>
          </w:p>
          <w:p w14:paraId="05ECB624" w14:textId="60F38904" w:rsidR="0320F0AF" w:rsidRDefault="0320F0AF" w:rsidP="0320F0AF">
            <w:pPr>
              <w:spacing w:line="278" w:lineRule="auto"/>
              <w:rPr>
                <w:rFonts w:ascii="Times New Roman" w:eastAsia="Times New Roman" w:hAnsi="Times New Roman"/>
                <w:sz w:val="20"/>
                <w:szCs w:val="20"/>
              </w:rPr>
            </w:pPr>
          </w:p>
          <w:p w14:paraId="6C5139E0" w14:textId="7D42EFB5" w:rsidR="6A1B4356" w:rsidRDefault="6A1B4356" w:rsidP="0320F0AF">
            <w:pPr>
              <w:spacing w:line="278" w:lineRule="auto"/>
            </w:pPr>
            <w:r w:rsidRPr="0320F0AF">
              <w:rPr>
                <w:rFonts w:ascii="Times New Roman" w:eastAsia="Times New Roman" w:hAnsi="Times New Roman"/>
                <w:sz w:val="20"/>
                <w:szCs w:val="20"/>
              </w:rPr>
              <w:t>Safety: No significant difference</w:t>
            </w:r>
          </w:p>
        </w:tc>
        <w:tc>
          <w:tcPr>
            <w:tcW w:w="1325" w:type="dxa"/>
          </w:tcPr>
          <w:p w14:paraId="16A38D00" w14:textId="20F55874" w:rsidR="0486F7FE" w:rsidRDefault="0486F7FE" w:rsidP="0320F0AF">
            <w:pPr>
              <w:spacing w:line="278" w:lineRule="auto"/>
              <w:rPr>
                <w:rFonts w:ascii="Times New Roman" w:eastAsia="Times New Roman" w:hAnsi="Times New Roman"/>
                <w:sz w:val="20"/>
                <w:szCs w:val="20"/>
              </w:rPr>
            </w:pPr>
            <w:r w:rsidRPr="0320F0AF">
              <w:rPr>
                <w:rFonts w:ascii="Times New Roman" w:eastAsia="Times New Roman" w:hAnsi="Times New Roman"/>
                <w:sz w:val="20"/>
                <w:szCs w:val="20"/>
              </w:rPr>
              <w:t>18/22 (High quality)</w:t>
            </w:r>
          </w:p>
        </w:tc>
      </w:tr>
      <w:tr w:rsidR="009642E0" w:rsidRPr="009642E0" w14:paraId="73BB63BA" w14:textId="77777777" w:rsidTr="0320F0AF">
        <w:tc>
          <w:tcPr>
            <w:tcW w:w="1470" w:type="dxa"/>
          </w:tcPr>
          <w:p w14:paraId="7898C6F6"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lastRenderedPageBreak/>
              <w:t>Kharasch et al., 2023</w:t>
            </w:r>
          </w:p>
        </w:tc>
        <w:tc>
          <w:tcPr>
            <w:tcW w:w="2790" w:type="dxa"/>
          </w:tcPr>
          <w:p w14:paraId="1815C1C2"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Randomized controlled trial (Level II)</w:t>
            </w:r>
          </w:p>
        </w:tc>
        <w:tc>
          <w:tcPr>
            <w:tcW w:w="3855" w:type="dxa"/>
          </w:tcPr>
          <w:p w14:paraId="15B6E2A8" w14:textId="77777777" w:rsidR="009642E0" w:rsidRPr="009642E0" w:rsidRDefault="1C8FB7B0" w:rsidP="0320F0AF">
            <w:pPr>
              <w:spacing w:after="160" w:line="278" w:lineRule="auto"/>
              <w:rPr>
                <w:rFonts w:ascii="Times New Roman" w:eastAsia="Times New Roman" w:hAnsi="Times New Roman"/>
                <w:sz w:val="20"/>
                <w:szCs w:val="20"/>
              </w:rPr>
            </w:pPr>
            <w:r w:rsidRPr="0320F0AF">
              <w:rPr>
                <w:rFonts w:ascii="Times New Roman" w:eastAsia="Times New Roman" w:hAnsi="Times New Roman"/>
                <w:sz w:val="20"/>
                <w:szCs w:val="20"/>
              </w:rPr>
              <w:t>129 adults undergoing next-day discharge surgery. IV methadone or fentanyl, hydromorphone or morphine</w:t>
            </w:r>
          </w:p>
        </w:tc>
        <w:tc>
          <w:tcPr>
            <w:tcW w:w="3510" w:type="dxa"/>
          </w:tcPr>
          <w:p w14:paraId="46ED3AE4" w14:textId="36B5108C"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0DF0666E" w14:textId="15BE64D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No significant difference</w:t>
            </w:r>
          </w:p>
          <w:p w14:paraId="5A963545"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4F867175"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16/22 (Moderate quality)</w:t>
            </w:r>
          </w:p>
        </w:tc>
      </w:tr>
      <w:tr w:rsidR="009642E0" w:rsidRPr="009642E0" w14:paraId="7B96B282" w14:textId="77777777" w:rsidTr="0320F0AF">
        <w:tc>
          <w:tcPr>
            <w:tcW w:w="1470" w:type="dxa"/>
          </w:tcPr>
          <w:p w14:paraId="76EDC8AF"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Green et al., 2024</w:t>
            </w:r>
          </w:p>
        </w:tc>
        <w:tc>
          <w:tcPr>
            <w:tcW w:w="2790" w:type="dxa"/>
          </w:tcPr>
          <w:p w14:paraId="1B38D3FE"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Randomized controlled trial (Level II)</w:t>
            </w:r>
          </w:p>
        </w:tc>
        <w:tc>
          <w:tcPr>
            <w:tcW w:w="3855" w:type="dxa"/>
          </w:tcPr>
          <w:p w14:paraId="6E2978D5" w14:textId="36386A05"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70 adult women undergoing same-day laparoscopic gynecologic surgery. IV methadone or fentanyl, morphine, or oxycodone</w:t>
            </w:r>
            <w:r w:rsidR="005D598F">
              <w:rPr>
                <w:rFonts w:ascii="Times New Roman" w:eastAsia="Times New Roman" w:hAnsi="Times New Roman"/>
                <w:sz w:val="20"/>
                <w:szCs w:val="20"/>
              </w:rPr>
              <w:t xml:space="preserve"> </w:t>
            </w:r>
          </w:p>
        </w:tc>
        <w:tc>
          <w:tcPr>
            <w:tcW w:w="3510" w:type="dxa"/>
          </w:tcPr>
          <w:p w14:paraId="491EE138" w14:textId="33FE119D"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2CC2B29A" w14:textId="20F0546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444A8B92"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7AD940C5"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15/22 (Moderate quality)</w:t>
            </w:r>
          </w:p>
        </w:tc>
      </w:tr>
      <w:tr w:rsidR="009642E0" w:rsidRPr="009642E0" w14:paraId="726C5805" w14:textId="77777777" w:rsidTr="0320F0AF">
        <w:tc>
          <w:tcPr>
            <w:tcW w:w="1470" w:type="dxa"/>
          </w:tcPr>
          <w:p w14:paraId="5F4B29A0"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Bernstein et al., 2025</w:t>
            </w:r>
          </w:p>
        </w:tc>
        <w:tc>
          <w:tcPr>
            <w:tcW w:w="2790" w:type="dxa"/>
          </w:tcPr>
          <w:p w14:paraId="6188B777"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Retrospective + prospective cohort study (Level IV)</w:t>
            </w:r>
          </w:p>
        </w:tc>
        <w:tc>
          <w:tcPr>
            <w:tcW w:w="3855" w:type="dxa"/>
          </w:tcPr>
          <w:p w14:paraId="54F32FFD"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83 adult women undergoing DIEP flap breast reconstruction; methadone-based ERAS vs historical control</w:t>
            </w:r>
          </w:p>
        </w:tc>
        <w:tc>
          <w:tcPr>
            <w:tcW w:w="3510" w:type="dxa"/>
          </w:tcPr>
          <w:p w14:paraId="53F88C5E" w14:textId="1346EC4F"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57A95B8B" w14:textId="6FE59CC5"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1729C548"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38821BAC"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15/18 (High quality)</w:t>
            </w:r>
          </w:p>
        </w:tc>
      </w:tr>
      <w:tr w:rsidR="009642E0" w:rsidRPr="009642E0" w14:paraId="15CD6399" w14:textId="77777777" w:rsidTr="0320F0AF">
        <w:tc>
          <w:tcPr>
            <w:tcW w:w="1470" w:type="dxa"/>
          </w:tcPr>
          <w:p w14:paraId="41799D0B"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Cata et al., 2024</w:t>
            </w:r>
          </w:p>
        </w:tc>
        <w:tc>
          <w:tcPr>
            <w:tcW w:w="2790" w:type="dxa"/>
          </w:tcPr>
          <w:p w14:paraId="718A981E"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Retrospective cohort study (Level IV)</w:t>
            </w:r>
          </w:p>
        </w:tc>
        <w:tc>
          <w:tcPr>
            <w:tcW w:w="3855" w:type="dxa"/>
          </w:tcPr>
          <w:p w14:paraId="6CFAB107"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2,325 adult women undergoing unilateral or bilateral total mastectomy. IV methadone or fentanyl, morphine, hydromorphone</w:t>
            </w:r>
          </w:p>
        </w:tc>
        <w:tc>
          <w:tcPr>
            <w:tcW w:w="3510" w:type="dxa"/>
          </w:tcPr>
          <w:p w14:paraId="68665CBE" w14:textId="77777777" w:rsidR="009642E0" w:rsidRPr="009642E0" w:rsidRDefault="009642E0" w:rsidP="23B78A03">
            <w:pPr>
              <w:spacing w:before="100" w:beforeAutospacing="1" w:afterAutospacing="1"/>
              <w:rPr>
                <w:rFonts w:ascii="Times New Roman" w:eastAsia="Times New Roman" w:hAnsi="Times New Roman"/>
                <w:sz w:val="20"/>
                <w:szCs w:val="20"/>
              </w:rPr>
            </w:pPr>
            <w:r w:rsidRPr="23B78A03">
              <w:rPr>
                <w:rFonts w:ascii="Times New Roman" w:eastAsia="Times New Roman" w:hAnsi="Times New Roman"/>
                <w:sz w:val="20"/>
                <w:szCs w:val="20"/>
              </w:rPr>
              <w:t>Pain: Lower in methadone group</w:t>
            </w:r>
          </w:p>
          <w:p w14:paraId="3A00C0F6" w14:textId="77777777" w:rsidR="009642E0" w:rsidRPr="009642E0" w:rsidRDefault="009642E0" w:rsidP="23B78A03">
            <w:pPr>
              <w:spacing w:before="100" w:beforeAutospacing="1" w:afterAutospacing="1"/>
              <w:rPr>
                <w:rFonts w:ascii="Times New Roman" w:eastAsia="Times New Roman" w:hAnsi="Times New Roman"/>
                <w:sz w:val="20"/>
                <w:szCs w:val="20"/>
              </w:rPr>
            </w:pPr>
            <w:r w:rsidRPr="23B78A03">
              <w:rPr>
                <w:rFonts w:ascii="Times New Roman" w:eastAsia="Times New Roman" w:hAnsi="Times New Roman"/>
                <w:sz w:val="20"/>
                <w:szCs w:val="20"/>
              </w:rPr>
              <w:t>Opioids: Lower in methadone group</w:t>
            </w:r>
          </w:p>
          <w:p w14:paraId="49F77256"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Safety: No significant difference</w:t>
            </w:r>
          </w:p>
        </w:tc>
        <w:tc>
          <w:tcPr>
            <w:tcW w:w="1325" w:type="dxa"/>
          </w:tcPr>
          <w:p w14:paraId="34EA2655"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15/18 (High quality)</w:t>
            </w:r>
          </w:p>
        </w:tc>
      </w:tr>
      <w:tr w:rsidR="009642E0" w:rsidRPr="009642E0" w14:paraId="56E0458D" w14:textId="77777777" w:rsidTr="0320F0AF">
        <w:tc>
          <w:tcPr>
            <w:tcW w:w="1470" w:type="dxa"/>
          </w:tcPr>
          <w:p w14:paraId="3C0354FA"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D’Souza et al., 2023</w:t>
            </w:r>
          </w:p>
        </w:tc>
        <w:tc>
          <w:tcPr>
            <w:tcW w:w="2790" w:type="dxa"/>
          </w:tcPr>
          <w:p w14:paraId="66DFC047"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Expert opinion / narrative review (Level V)</w:t>
            </w:r>
          </w:p>
        </w:tc>
        <w:tc>
          <w:tcPr>
            <w:tcW w:w="3855" w:type="dxa"/>
          </w:tcPr>
          <w:p w14:paraId="30E0633F"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Adults, adolescents, and pediatric surgical patients</w:t>
            </w:r>
          </w:p>
        </w:tc>
        <w:tc>
          <w:tcPr>
            <w:tcW w:w="3510" w:type="dxa"/>
          </w:tcPr>
          <w:p w14:paraId="2B4C409A"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N/A – Narrative review of intraoperative methadone; no primary outcomes reported</w:t>
            </w:r>
          </w:p>
        </w:tc>
        <w:tc>
          <w:tcPr>
            <w:tcW w:w="1325" w:type="dxa"/>
          </w:tcPr>
          <w:p w14:paraId="2757302F"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15/18 (High quality)</w:t>
            </w:r>
          </w:p>
        </w:tc>
      </w:tr>
      <w:tr w:rsidR="009642E0" w:rsidRPr="009642E0" w14:paraId="72AD936F" w14:textId="77777777" w:rsidTr="0320F0AF">
        <w:tc>
          <w:tcPr>
            <w:tcW w:w="1470" w:type="dxa"/>
          </w:tcPr>
          <w:p w14:paraId="74D92130" w14:textId="77777777" w:rsidR="009642E0" w:rsidRPr="009642E0" w:rsidRDefault="009642E0" w:rsidP="23B78A03">
            <w:pPr>
              <w:spacing w:after="160" w:line="278" w:lineRule="auto"/>
              <w:rPr>
                <w:rFonts w:ascii="Times New Roman" w:eastAsia="Times New Roman" w:hAnsi="Times New Roman"/>
                <w:b/>
                <w:bCs/>
                <w:sz w:val="20"/>
                <w:szCs w:val="20"/>
              </w:rPr>
            </w:pPr>
            <w:r w:rsidRPr="23B78A03">
              <w:rPr>
                <w:rFonts w:ascii="Times New Roman" w:eastAsia="Times New Roman" w:hAnsi="Times New Roman"/>
                <w:b/>
                <w:bCs/>
                <w:sz w:val="20"/>
                <w:szCs w:val="20"/>
              </w:rPr>
              <w:t>Mercadante, 2023</w:t>
            </w:r>
          </w:p>
        </w:tc>
        <w:tc>
          <w:tcPr>
            <w:tcW w:w="2790" w:type="dxa"/>
          </w:tcPr>
          <w:p w14:paraId="48DB2F04"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Expert opinion / Narrative review (Level V)</w:t>
            </w:r>
          </w:p>
        </w:tc>
        <w:tc>
          <w:tcPr>
            <w:tcW w:w="3855" w:type="dxa"/>
          </w:tcPr>
          <w:p w14:paraId="1BA77A9B"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Adults with perioperative and chronic cancer pain receiving methadone for analgesia</w:t>
            </w:r>
          </w:p>
        </w:tc>
        <w:tc>
          <w:tcPr>
            <w:tcW w:w="3510" w:type="dxa"/>
          </w:tcPr>
          <w:p w14:paraId="03175119"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N/A – Narrative review of intraoperative methadone; no primary outcomes reported</w:t>
            </w:r>
          </w:p>
        </w:tc>
        <w:tc>
          <w:tcPr>
            <w:tcW w:w="1325" w:type="dxa"/>
          </w:tcPr>
          <w:p w14:paraId="308ED5D2"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15/18 (High quality)</w:t>
            </w:r>
          </w:p>
        </w:tc>
      </w:tr>
      <w:tr w:rsidR="009642E0" w:rsidRPr="009642E0" w14:paraId="5D13C026" w14:textId="77777777" w:rsidTr="0320F0AF">
        <w:tc>
          <w:tcPr>
            <w:tcW w:w="1470" w:type="dxa"/>
          </w:tcPr>
          <w:p w14:paraId="07FDF85F" w14:textId="22C14D63" w:rsidR="009642E0" w:rsidRPr="009642E0" w:rsidRDefault="009642E0" w:rsidP="23B78A03">
            <w:pPr>
              <w:spacing w:after="160" w:line="278" w:lineRule="auto"/>
              <w:rPr>
                <w:rFonts w:ascii="Times New Roman" w:eastAsia="Times New Roman" w:hAnsi="Times New Roman"/>
                <w:b/>
                <w:bCs/>
                <w:sz w:val="20"/>
                <w:szCs w:val="20"/>
              </w:rPr>
            </w:pPr>
            <w:r w:rsidRPr="38688B0C">
              <w:rPr>
                <w:rFonts w:ascii="Times New Roman" w:eastAsia="Times New Roman" w:hAnsi="Times New Roman"/>
                <w:b/>
                <w:bCs/>
                <w:sz w:val="20"/>
                <w:szCs w:val="20"/>
              </w:rPr>
              <w:t xml:space="preserve">Myles </w:t>
            </w:r>
            <w:r w:rsidR="37A7CDF9" w:rsidRPr="38688B0C">
              <w:rPr>
                <w:rFonts w:ascii="Times New Roman" w:eastAsia="Times New Roman" w:hAnsi="Times New Roman"/>
                <w:b/>
                <w:bCs/>
                <w:sz w:val="20"/>
                <w:szCs w:val="20"/>
              </w:rPr>
              <w:t xml:space="preserve">&amp; </w:t>
            </w:r>
            <w:r w:rsidRPr="38688B0C">
              <w:rPr>
                <w:rFonts w:ascii="Times New Roman" w:eastAsia="Times New Roman" w:hAnsi="Times New Roman"/>
                <w:b/>
                <w:bCs/>
                <w:sz w:val="20"/>
                <w:szCs w:val="20"/>
              </w:rPr>
              <w:t>Brummett, 2023</w:t>
            </w:r>
          </w:p>
        </w:tc>
        <w:tc>
          <w:tcPr>
            <w:tcW w:w="2790" w:type="dxa"/>
          </w:tcPr>
          <w:p w14:paraId="352E0F7B" w14:textId="77777777" w:rsidR="009642E0" w:rsidRPr="009642E0" w:rsidRDefault="009642E0" w:rsidP="23B78A03">
            <w:pPr>
              <w:rPr>
                <w:rFonts w:ascii="Times New Roman" w:eastAsia="Times New Roman" w:hAnsi="Times New Roman"/>
                <w:sz w:val="20"/>
                <w:szCs w:val="20"/>
              </w:rPr>
            </w:pPr>
            <w:r w:rsidRPr="23B78A03">
              <w:rPr>
                <w:rFonts w:ascii="Times New Roman" w:eastAsia="Times New Roman" w:hAnsi="Times New Roman"/>
                <w:sz w:val="20"/>
                <w:szCs w:val="20"/>
              </w:rPr>
              <w:t>Expert opinion / narrative review (Level V)</w:t>
            </w:r>
          </w:p>
        </w:tc>
        <w:tc>
          <w:tcPr>
            <w:tcW w:w="3855" w:type="dxa"/>
          </w:tcPr>
          <w:p w14:paraId="4314B9A6"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Editorial analysis referencing adult surgical populations from recent RCTs and meta-analyses</w:t>
            </w:r>
          </w:p>
        </w:tc>
        <w:tc>
          <w:tcPr>
            <w:tcW w:w="3510" w:type="dxa"/>
          </w:tcPr>
          <w:p w14:paraId="0D22F897"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N/A – Narrative review of intraoperative methadone; no primary outcomes reported</w:t>
            </w:r>
          </w:p>
        </w:tc>
        <w:tc>
          <w:tcPr>
            <w:tcW w:w="1325" w:type="dxa"/>
          </w:tcPr>
          <w:p w14:paraId="11A75FD2" w14:textId="77777777" w:rsidR="009642E0" w:rsidRPr="009642E0" w:rsidRDefault="009642E0" w:rsidP="23B78A03">
            <w:pPr>
              <w:spacing w:after="160" w:line="278" w:lineRule="auto"/>
              <w:rPr>
                <w:rFonts w:ascii="Times New Roman" w:eastAsia="Times New Roman" w:hAnsi="Times New Roman"/>
                <w:sz w:val="20"/>
                <w:szCs w:val="20"/>
              </w:rPr>
            </w:pPr>
            <w:r w:rsidRPr="23B78A03">
              <w:rPr>
                <w:rFonts w:ascii="Times New Roman" w:eastAsia="Times New Roman" w:hAnsi="Times New Roman"/>
                <w:sz w:val="20"/>
                <w:szCs w:val="20"/>
              </w:rPr>
              <w:t>13/18 (Moderate quality)</w:t>
            </w:r>
          </w:p>
        </w:tc>
      </w:tr>
    </w:tbl>
    <w:p w14:paraId="1393E1F0" w14:textId="03F605FB" w:rsidR="23B78A03" w:rsidRDefault="23B78A03"/>
    <w:p w14:paraId="1A5B6F67" w14:textId="4E31A0D3" w:rsidR="005C6631" w:rsidRPr="005C6631" w:rsidRDefault="009642E0" w:rsidP="005C6631">
      <w:pPr>
        <w:spacing w:after="200" w:line="480" w:lineRule="auto"/>
        <w:rPr>
          <w:rFonts w:ascii="Times New Roman" w:eastAsia="Times New Roman" w:hAnsi="Times New Roman" w:cs="Times New Roman"/>
          <w:kern w:val="2"/>
          <w:sz w:val="24"/>
          <w:szCs w:val="24"/>
          <w:lang w:val="en-US"/>
          <w14:ligatures w14:val="standardContextual"/>
        </w:rPr>
        <w:sectPr w:rsidR="005C6631" w:rsidRPr="005C6631" w:rsidSect="0079621E">
          <w:pgSz w:w="15840" w:h="12240" w:orient="landscape"/>
          <w:pgMar w:top="1440" w:right="1440" w:bottom="1440" w:left="1440" w:header="720" w:footer="720" w:gutter="0"/>
          <w:cols w:space="720"/>
          <w:docGrid w:linePitch="299"/>
        </w:sectPr>
      </w:pPr>
      <w:r w:rsidRPr="009642E0">
        <w:rPr>
          <w:rFonts w:ascii="Times New Roman" w:eastAsia="Times New Roman" w:hAnsi="Times New Roman" w:cs="Times New Roman"/>
          <w:i/>
          <w:iCs/>
          <w:kern w:val="2"/>
          <w:sz w:val="24"/>
          <w:szCs w:val="24"/>
          <w:lang w:val="en-US"/>
          <w14:ligatures w14:val="standardContextual"/>
        </w:rPr>
        <w:lastRenderedPageBreak/>
        <w:t xml:space="preserve">Note. </w:t>
      </w:r>
      <w:r w:rsidRPr="009642E0">
        <w:rPr>
          <w:rFonts w:ascii="Times New Roman" w:eastAsia="Times New Roman" w:hAnsi="Times New Roman" w:cs="Times New Roman"/>
          <w:kern w:val="2"/>
          <w:sz w:val="24"/>
          <w:szCs w:val="24"/>
          <w:lang w:val="en-US"/>
          <w14:ligatures w14:val="standardContextual"/>
        </w:rPr>
        <w:t xml:space="preserve">Studies are grouped by level of evidence and presented in descending order of methodological quality. This table summarizes the characteristics, findings, and quality appraisal of studies included in this integrative review examining intraoperative intravenous methadone for postoperative pain management in adult surgical patients. Pain and opioid outcomes reflect postoperative measures as reported in each study. Quality ratings were assigned using the Critical Appraisal Skills </w:t>
      </w:r>
      <w:proofErr w:type="spellStart"/>
      <w:r w:rsidRPr="009642E0">
        <w:rPr>
          <w:rFonts w:ascii="Times New Roman" w:eastAsia="Times New Roman" w:hAnsi="Times New Roman" w:cs="Times New Roman"/>
          <w:kern w:val="2"/>
          <w:sz w:val="24"/>
          <w:szCs w:val="24"/>
          <w:lang w:val="en-US"/>
          <w14:ligatures w14:val="standardContextual"/>
        </w:rPr>
        <w:t>Programme</w:t>
      </w:r>
      <w:proofErr w:type="spellEnd"/>
      <w:r w:rsidRPr="009642E0">
        <w:rPr>
          <w:rFonts w:ascii="Times New Roman" w:eastAsia="Times New Roman" w:hAnsi="Times New Roman" w:cs="Times New Roman"/>
          <w:kern w:val="2"/>
          <w:sz w:val="24"/>
          <w:szCs w:val="24"/>
          <w:lang w:val="en-US"/>
          <w14:ligatures w14:val="standardContextual"/>
        </w:rPr>
        <w:t xml:space="preserve"> (CASP), with higher scores indicating stronger methodological quality</w:t>
      </w:r>
      <w:r w:rsidR="00C533B0">
        <w:rPr>
          <w:rFonts w:ascii="Times New Roman" w:eastAsia="Times New Roman" w:hAnsi="Times New Roman" w:cs="Times New Roman"/>
          <w:kern w:val="2"/>
          <w:sz w:val="24"/>
          <w:szCs w:val="24"/>
          <w:lang w:val="en-US"/>
          <w14:ligatures w14:val="standardContextual"/>
        </w:rPr>
        <w:t xml:space="preserve"> in the context of the level of evidence.</w:t>
      </w:r>
      <w:r w:rsidRPr="009642E0">
        <w:rPr>
          <w:rFonts w:ascii="Times New Roman" w:eastAsia="Times New Roman" w:hAnsi="Times New Roman" w:cs="Times New Roman"/>
          <w:kern w:val="2"/>
          <w:sz w:val="24"/>
          <w:szCs w:val="24"/>
          <w:lang w:val="en-US"/>
          <w14:ligatures w14:val="standardContextual"/>
        </w:rPr>
        <w:t xml:space="preserve"> Abbreviations: CASP = Critical Appraisal Skills </w:t>
      </w:r>
      <w:proofErr w:type="spellStart"/>
      <w:r w:rsidRPr="009642E0">
        <w:rPr>
          <w:rFonts w:ascii="Times New Roman" w:eastAsia="Times New Roman" w:hAnsi="Times New Roman" w:cs="Times New Roman"/>
          <w:kern w:val="2"/>
          <w:sz w:val="24"/>
          <w:szCs w:val="24"/>
          <w:lang w:val="en-US"/>
          <w14:ligatures w14:val="standardContextual"/>
        </w:rPr>
        <w:t>Programme</w:t>
      </w:r>
      <w:proofErr w:type="spellEnd"/>
      <w:r w:rsidRPr="009642E0">
        <w:rPr>
          <w:rFonts w:ascii="Times New Roman" w:eastAsia="Times New Roman" w:hAnsi="Times New Roman" w:cs="Times New Roman"/>
          <w:kern w:val="2"/>
          <w:sz w:val="24"/>
          <w:szCs w:val="24"/>
          <w:lang w:val="en-US"/>
          <w14:ligatures w14:val="standardContextual"/>
        </w:rPr>
        <w:t>; N/A = not applicable</w:t>
      </w:r>
      <w:r w:rsidR="005C6631">
        <w:rPr>
          <w:rFonts w:ascii="Times New Roman" w:eastAsia="Times New Roman" w:hAnsi="Times New Roman" w:cs="Times New Roman"/>
          <w:kern w:val="2"/>
          <w:sz w:val="24"/>
          <w:szCs w:val="24"/>
          <w:lang w:val="en-US"/>
          <w14:ligatures w14:val="standardContextual"/>
        </w:rPr>
        <w:t>.</w:t>
      </w:r>
    </w:p>
    <w:p w14:paraId="4F481398" w14:textId="1644E024" w:rsidR="00C817CC" w:rsidRPr="00E16670" w:rsidRDefault="3729468D" w:rsidP="1193C325">
      <w:pPr>
        <w:spacing w:line="480" w:lineRule="auto"/>
        <w:contextualSpacing/>
        <w:jc w:val="center"/>
        <w:rPr>
          <w:rFonts w:ascii="Times New Roman" w:eastAsia="Times New Roman" w:hAnsi="Times New Roman" w:cs="Times New Roman"/>
          <w:b/>
          <w:bCs/>
          <w:sz w:val="24"/>
          <w:szCs w:val="24"/>
        </w:rPr>
      </w:pPr>
      <w:r w:rsidRPr="1193C325">
        <w:rPr>
          <w:rFonts w:ascii="Times New Roman" w:eastAsia="Times New Roman" w:hAnsi="Times New Roman" w:cs="Times New Roman"/>
          <w:b/>
          <w:bCs/>
          <w:sz w:val="24"/>
          <w:szCs w:val="24"/>
        </w:rPr>
        <w:lastRenderedPageBreak/>
        <w:t>Discussion</w:t>
      </w:r>
    </w:p>
    <w:p w14:paraId="7BE13A8B" w14:textId="704D0F32" w:rsidR="00C817CC" w:rsidRPr="00E16670" w:rsidRDefault="08FEFEF9" w:rsidP="0320F0AF">
      <w:pPr>
        <w:spacing w:line="480" w:lineRule="auto"/>
        <w:ind w:firstLine="720"/>
        <w:contextualSpacing/>
        <w:rPr>
          <w:rFonts w:ascii="Times New Roman" w:eastAsia="Times New Roman" w:hAnsi="Times New Roman" w:cs="Times New Roman"/>
          <w:color w:val="000000" w:themeColor="text1"/>
          <w:sz w:val="24"/>
          <w:szCs w:val="24"/>
          <w:lang w:val="en-US"/>
        </w:rPr>
      </w:pPr>
      <w:r w:rsidRPr="0320F0AF">
        <w:rPr>
          <w:rFonts w:ascii="Times New Roman" w:eastAsia="Times New Roman" w:hAnsi="Times New Roman" w:cs="Times New Roman"/>
          <w:color w:val="000000" w:themeColor="text1"/>
          <w:sz w:val="24"/>
          <w:szCs w:val="24"/>
        </w:rPr>
        <w:t xml:space="preserve">This integrative review synthesizes current evidence evaluating intraoperative intravenous methadone for postoperative pain management in adult surgical patients. Across multiple levels of evidence and surgical populations, intraoperative methadone </w:t>
      </w:r>
      <w:r w:rsidR="17ECE3A7" w:rsidRPr="0320F0AF">
        <w:rPr>
          <w:rFonts w:ascii="Times New Roman" w:eastAsia="Times New Roman" w:hAnsi="Times New Roman" w:cs="Times New Roman"/>
          <w:color w:val="000000" w:themeColor="text1"/>
          <w:sz w:val="24"/>
          <w:szCs w:val="24"/>
        </w:rPr>
        <w:t>general</w:t>
      </w:r>
      <w:r w:rsidRPr="0320F0AF">
        <w:rPr>
          <w:rFonts w:ascii="Times New Roman" w:eastAsia="Times New Roman" w:hAnsi="Times New Roman" w:cs="Times New Roman"/>
          <w:color w:val="000000" w:themeColor="text1"/>
          <w:sz w:val="24"/>
          <w:szCs w:val="24"/>
        </w:rPr>
        <w:t>ly improve</w:t>
      </w:r>
      <w:r w:rsidR="6841C062" w:rsidRPr="0320F0AF">
        <w:rPr>
          <w:rFonts w:ascii="Times New Roman" w:eastAsia="Times New Roman" w:hAnsi="Times New Roman" w:cs="Times New Roman"/>
          <w:color w:val="000000" w:themeColor="text1"/>
          <w:sz w:val="24"/>
          <w:szCs w:val="24"/>
        </w:rPr>
        <w:t>d</w:t>
      </w:r>
      <w:r w:rsidRPr="0320F0AF">
        <w:rPr>
          <w:rFonts w:ascii="Times New Roman" w:eastAsia="Times New Roman" w:hAnsi="Times New Roman" w:cs="Times New Roman"/>
          <w:color w:val="000000" w:themeColor="text1"/>
          <w:sz w:val="24"/>
          <w:szCs w:val="24"/>
        </w:rPr>
        <w:t xml:space="preserve"> postoperative pain control and reduce</w:t>
      </w:r>
      <w:r w:rsidR="3D4F3640" w:rsidRPr="0320F0AF">
        <w:rPr>
          <w:rFonts w:ascii="Times New Roman" w:eastAsia="Times New Roman" w:hAnsi="Times New Roman" w:cs="Times New Roman"/>
          <w:color w:val="000000" w:themeColor="text1"/>
          <w:sz w:val="24"/>
          <w:szCs w:val="24"/>
        </w:rPr>
        <w:t>d</w:t>
      </w:r>
      <w:r w:rsidRPr="0320F0AF">
        <w:rPr>
          <w:rFonts w:ascii="Times New Roman" w:eastAsia="Times New Roman" w:hAnsi="Times New Roman" w:cs="Times New Roman"/>
          <w:color w:val="000000" w:themeColor="text1"/>
          <w:sz w:val="24"/>
          <w:szCs w:val="24"/>
        </w:rPr>
        <w:t xml:space="preserve"> opioid consumption without increasing clinically significant adverse effects. These findings support methadone as an effective alternative to short-acting opioids and reinforce its role within contemporary multimodal analgesic strategies</w:t>
      </w:r>
      <w:r w:rsidR="65C974FA" w:rsidRPr="0320F0AF">
        <w:rPr>
          <w:rFonts w:ascii="Times New Roman" w:eastAsia="Times New Roman" w:hAnsi="Times New Roman" w:cs="Times New Roman"/>
          <w:color w:val="000000" w:themeColor="text1"/>
          <w:sz w:val="24"/>
          <w:szCs w:val="24"/>
        </w:rPr>
        <w:t xml:space="preserve">. </w:t>
      </w:r>
      <w:r w:rsidRPr="0320F0AF">
        <w:rPr>
          <w:rFonts w:ascii="Times New Roman" w:eastAsia="Times New Roman" w:hAnsi="Times New Roman" w:cs="Times New Roman"/>
          <w:color w:val="000000" w:themeColor="text1"/>
          <w:sz w:val="24"/>
          <w:szCs w:val="24"/>
          <w:lang w:val="en-US"/>
        </w:rPr>
        <w:t xml:space="preserve">A key finding is the </w:t>
      </w:r>
      <w:r w:rsidR="38FA6C39" w:rsidRPr="0320F0AF">
        <w:rPr>
          <w:rFonts w:ascii="Times New Roman" w:eastAsia="Times New Roman" w:hAnsi="Times New Roman" w:cs="Times New Roman"/>
          <w:color w:val="000000" w:themeColor="text1"/>
          <w:sz w:val="24"/>
          <w:szCs w:val="24"/>
          <w:lang w:val="en-US"/>
        </w:rPr>
        <w:t>generally consistent</w:t>
      </w:r>
      <w:r w:rsidRPr="0320F0AF">
        <w:rPr>
          <w:rFonts w:ascii="Times New Roman" w:eastAsia="Times New Roman" w:hAnsi="Times New Roman" w:cs="Times New Roman"/>
          <w:color w:val="000000" w:themeColor="text1"/>
          <w:sz w:val="24"/>
          <w:szCs w:val="24"/>
          <w:lang w:val="en-US"/>
        </w:rPr>
        <w:t xml:space="preserve"> analgesic benefit across study designs, particularly within higher-level evidence. Randomized controlled trials and systematic reviews demonstrate</w:t>
      </w:r>
      <w:r w:rsidR="31168635" w:rsidRPr="0320F0AF">
        <w:rPr>
          <w:rFonts w:ascii="Times New Roman" w:eastAsia="Times New Roman" w:hAnsi="Times New Roman" w:cs="Times New Roman"/>
          <w:color w:val="000000" w:themeColor="text1"/>
          <w:sz w:val="24"/>
          <w:szCs w:val="24"/>
          <w:lang w:val="en-US"/>
        </w:rPr>
        <w:t>d</w:t>
      </w:r>
      <w:r w:rsidRPr="0320F0AF">
        <w:rPr>
          <w:rFonts w:ascii="Times New Roman" w:eastAsia="Times New Roman" w:hAnsi="Times New Roman" w:cs="Times New Roman"/>
          <w:color w:val="000000" w:themeColor="text1"/>
          <w:sz w:val="24"/>
          <w:szCs w:val="24"/>
          <w:lang w:val="en-US"/>
        </w:rPr>
        <w:t xml:space="preserve"> reductions in postoperative pain intensity, most notably within the first 24 to 48 hours following surgery</w:t>
      </w:r>
      <w:r w:rsidR="7C2B5822" w:rsidRPr="0320F0AF">
        <w:rPr>
          <w:rFonts w:ascii="Times New Roman" w:eastAsia="Times New Roman" w:hAnsi="Times New Roman" w:cs="Times New Roman"/>
          <w:color w:val="000000" w:themeColor="text1"/>
          <w:sz w:val="24"/>
          <w:szCs w:val="24"/>
          <w:lang w:val="en-US"/>
        </w:rPr>
        <w:t xml:space="preserve">, </w:t>
      </w:r>
      <w:r w:rsidR="7C2B5822" w:rsidRPr="0320F0AF">
        <w:rPr>
          <w:rFonts w:ascii="Times New Roman" w:eastAsia="Times New Roman" w:hAnsi="Times New Roman" w:cs="Times New Roman"/>
          <w:sz w:val="24"/>
          <w:szCs w:val="24"/>
          <w:lang w:val="en-US"/>
        </w:rPr>
        <w:t xml:space="preserve">although the extent of effect varied across studies. </w:t>
      </w:r>
      <w:r w:rsidRPr="0320F0AF">
        <w:rPr>
          <w:rFonts w:ascii="Times New Roman" w:eastAsia="Times New Roman" w:hAnsi="Times New Roman" w:cs="Times New Roman"/>
          <w:color w:val="000000" w:themeColor="text1"/>
          <w:sz w:val="24"/>
          <w:szCs w:val="24"/>
          <w:lang w:val="en-US"/>
        </w:rPr>
        <w:t xml:space="preserve">This effect </w:t>
      </w:r>
      <w:r w:rsidR="7EA3F7D0" w:rsidRPr="0320F0AF">
        <w:rPr>
          <w:rFonts w:ascii="Times New Roman" w:eastAsia="Times New Roman" w:hAnsi="Times New Roman" w:cs="Times New Roman"/>
          <w:color w:val="000000" w:themeColor="text1"/>
          <w:sz w:val="24"/>
          <w:szCs w:val="24"/>
          <w:lang w:val="en-US"/>
        </w:rPr>
        <w:t>was</w:t>
      </w:r>
      <w:r w:rsidRPr="0320F0AF">
        <w:rPr>
          <w:rFonts w:ascii="Times New Roman" w:eastAsia="Times New Roman" w:hAnsi="Times New Roman" w:cs="Times New Roman"/>
          <w:color w:val="000000" w:themeColor="text1"/>
          <w:sz w:val="24"/>
          <w:szCs w:val="24"/>
          <w:lang w:val="en-US"/>
        </w:rPr>
        <w:t xml:space="preserve"> further supported by observational data</w:t>
      </w:r>
      <w:r w:rsidR="3AFA7108" w:rsidRPr="0320F0AF">
        <w:rPr>
          <w:rFonts w:ascii="Times New Roman" w:eastAsia="Times New Roman" w:hAnsi="Times New Roman" w:cs="Times New Roman"/>
          <w:color w:val="000000" w:themeColor="text1"/>
          <w:sz w:val="24"/>
          <w:szCs w:val="24"/>
          <w:lang w:val="en-US"/>
        </w:rPr>
        <w:t>,</w:t>
      </w:r>
      <w:r w:rsidRPr="0320F0AF">
        <w:rPr>
          <w:rFonts w:ascii="Times New Roman" w:eastAsia="Times New Roman" w:hAnsi="Times New Roman" w:cs="Times New Roman"/>
          <w:color w:val="000000" w:themeColor="text1"/>
          <w:sz w:val="24"/>
          <w:szCs w:val="24"/>
          <w:lang w:val="en-US"/>
        </w:rPr>
        <w:t xml:space="preserve"> suggesting that methadone’s analgesic advantage is both robust and generalizable. The magnitude of benefit appear</w:t>
      </w:r>
      <w:r w:rsidR="09613613" w:rsidRPr="0320F0AF">
        <w:rPr>
          <w:rFonts w:ascii="Times New Roman" w:eastAsia="Times New Roman" w:hAnsi="Times New Roman" w:cs="Times New Roman"/>
          <w:color w:val="000000" w:themeColor="text1"/>
          <w:sz w:val="24"/>
          <w:szCs w:val="24"/>
          <w:lang w:val="en-US"/>
        </w:rPr>
        <w:t>ed</w:t>
      </w:r>
      <w:r w:rsidRPr="0320F0AF">
        <w:rPr>
          <w:rFonts w:ascii="Times New Roman" w:eastAsia="Times New Roman" w:hAnsi="Times New Roman" w:cs="Times New Roman"/>
          <w:color w:val="000000" w:themeColor="text1"/>
          <w:sz w:val="24"/>
          <w:szCs w:val="24"/>
          <w:lang w:val="en-US"/>
        </w:rPr>
        <w:t xml:space="preserve"> greater in procedures associated with higher nociceptive burden, indicating that methadone’s prolonged duration of action and multimodal properties are particularly advantageous in settings requiring sustained analgesia</w:t>
      </w:r>
      <w:r w:rsidR="3AFA7108" w:rsidRPr="0320F0AF">
        <w:rPr>
          <w:rFonts w:ascii="Times New Roman" w:eastAsia="Times New Roman" w:hAnsi="Times New Roman" w:cs="Times New Roman"/>
          <w:color w:val="000000" w:themeColor="text1"/>
          <w:sz w:val="24"/>
          <w:szCs w:val="24"/>
          <w:lang w:val="en-US"/>
        </w:rPr>
        <w:t>.</w:t>
      </w:r>
    </w:p>
    <w:p w14:paraId="62B3976C" w14:textId="4528C3B7" w:rsidR="00C817CC" w:rsidRPr="00E16670" w:rsidRDefault="3729468D"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In addition to improved pain control, intraoperative methadone demonstrate</w:t>
      </w:r>
      <w:r w:rsidR="0996A261" w:rsidRPr="343CB678">
        <w:rPr>
          <w:rFonts w:ascii="Times New Roman" w:eastAsia="Times New Roman" w:hAnsi="Times New Roman" w:cs="Times New Roman"/>
          <w:color w:val="000000" w:themeColor="text1"/>
          <w:sz w:val="24"/>
          <w:szCs w:val="24"/>
          <w:lang w:val="en-US"/>
        </w:rPr>
        <w:t>d</w:t>
      </w:r>
      <w:r w:rsidRPr="343CB678">
        <w:rPr>
          <w:rFonts w:ascii="Times New Roman" w:eastAsia="Times New Roman" w:hAnsi="Times New Roman" w:cs="Times New Roman"/>
          <w:color w:val="000000" w:themeColor="text1"/>
          <w:sz w:val="24"/>
          <w:szCs w:val="24"/>
          <w:lang w:val="en-US"/>
        </w:rPr>
        <w:t xml:space="preserve"> a </w:t>
      </w:r>
      <w:r w:rsidR="006E5A4F">
        <w:rPr>
          <w:rFonts w:ascii="Times New Roman" w:eastAsia="Times New Roman" w:hAnsi="Times New Roman" w:cs="Times New Roman"/>
          <w:color w:val="000000" w:themeColor="text1"/>
          <w:sz w:val="24"/>
          <w:szCs w:val="24"/>
          <w:lang w:val="en-US"/>
        </w:rPr>
        <w:t>reproducible</w:t>
      </w:r>
      <w:r w:rsidRPr="343CB678">
        <w:rPr>
          <w:rFonts w:ascii="Times New Roman" w:eastAsia="Times New Roman" w:hAnsi="Times New Roman" w:cs="Times New Roman"/>
          <w:color w:val="000000" w:themeColor="text1"/>
          <w:sz w:val="24"/>
          <w:szCs w:val="24"/>
          <w:lang w:val="en-US"/>
        </w:rPr>
        <w:t xml:space="preserve"> opioid-sparing effect</w:t>
      </w:r>
      <w:r w:rsidR="3FEE6A50" w:rsidRPr="343CB678">
        <w:rPr>
          <w:rFonts w:ascii="Times New Roman" w:eastAsia="Times New Roman" w:hAnsi="Times New Roman" w:cs="Times New Roman"/>
          <w:color w:val="000000" w:themeColor="text1"/>
          <w:sz w:val="24"/>
          <w:szCs w:val="24"/>
          <w:lang w:val="en-US"/>
        </w:rPr>
        <w:t xml:space="preserve"> across the literature.</w:t>
      </w:r>
      <w:r w:rsidRPr="343CB678">
        <w:rPr>
          <w:rFonts w:ascii="Times New Roman" w:eastAsia="Times New Roman" w:hAnsi="Times New Roman" w:cs="Times New Roman"/>
          <w:color w:val="000000" w:themeColor="text1"/>
          <w:sz w:val="24"/>
          <w:szCs w:val="24"/>
          <w:lang w:val="en-US"/>
        </w:rPr>
        <w:t xml:space="preserve"> While the magnitude of reduction varies, the direction of effect remain</w:t>
      </w:r>
      <w:r w:rsidR="71834297" w:rsidRPr="343CB678">
        <w:rPr>
          <w:rFonts w:ascii="Times New Roman" w:eastAsia="Times New Roman" w:hAnsi="Times New Roman" w:cs="Times New Roman"/>
          <w:color w:val="000000" w:themeColor="text1"/>
          <w:sz w:val="24"/>
          <w:szCs w:val="24"/>
          <w:lang w:val="en-US"/>
        </w:rPr>
        <w:t xml:space="preserve">ed </w:t>
      </w:r>
      <w:r w:rsidRPr="343CB678">
        <w:rPr>
          <w:rFonts w:ascii="Times New Roman" w:eastAsia="Times New Roman" w:hAnsi="Times New Roman" w:cs="Times New Roman"/>
          <w:color w:val="000000" w:themeColor="text1"/>
          <w:sz w:val="24"/>
          <w:szCs w:val="24"/>
          <w:lang w:val="en-US"/>
        </w:rPr>
        <w:t xml:space="preserve">stable across study designs and surgical populations. This reduction in postoperative opioid requirements has important clinical implications, including decreased opioid exposure and potential improvements in recovery </w:t>
      </w:r>
      <w:r w:rsidR="04DB1BC7" w:rsidRPr="343CB678">
        <w:rPr>
          <w:rFonts w:ascii="Times New Roman" w:eastAsia="Times New Roman" w:hAnsi="Times New Roman" w:cs="Times New Roman"/>
          <w:color w:val="000000" w:themeColor="text1"/>
          <w:sz w:val="24"/>
          <w:szCs w:val="24"/>
          <w:lang w:val="en-US"/>
        </w:rPr>
        <w:t>trajectories</w:t>
      </w:r>
      <w:r w:rsidR="005C730A">
        <w:rPr>
          <w:rFonts w:ascii="Times New Roman" w:eastAsia="Times New Roman" w:hAnsi="Times New Roman" w:cs="Times New Roman"/>
          <w:color w:val="000000" w:themeColor="text1"/>
          <w:sz w:val="24"/>
          <w:szCs w:val="24"/>
          <w:lang w:val="en-US"/>
        </w:rPr>
        <w:t xml:space="preserve">. </w:t>
      </w:r>
      <w:r w:rsidRPr="343CB678">
        <w:rPr>
          <w:rFonts w:ascii="Times New Roman" w:eastAsia="Times New Roman" w:hAnsi="Times New Roman" w:cs="Times New Roman"/>
          <w:color w:val="000000" w:themeColor="text1"/>
          <w:sz w:val="24"/>
          <w:szCs w:val="24"/>
          <w:lang w:val="en-US"/>
        </w:rPr>
        <w:t>Variability in outcomes reflect</w:t>
      </w:r>
      <w:r w:rsidR="36B75E89" w:rsidRPr="343CB678">
        <w:rPr>
          <w:rFonts w:ascii="Times New Roman" w:eastAsia="Times New Roman" w:hAnsi="Times New Roman" w:cs="Times New Roman"/>
          <w:color w:val="000000" w:themeColor="text1"/>
          <w:sz w:val="24"/>
          <w:szCs w:val="24"/>
          <w:lang w:val="en-US"/>
        </w:rPr>
        <w:t>s</w:t>
      </w:r>
      <w:r w:rsidRPr="343CB678">
        <w:rPr>
          <w:rFonts w:ascii="Times New Roman" w:eastAsia="Times New Roman" w:hAnsi="Times New Roman" w:cs="Times New Roman"/>
          <w:color w:val="000000" w:themeColor="text1"/>
          <w:sz w:val="24"/>
          <w:szCs w:val="24"/>
          <w:lang w:val="en-US"/>
        </w:rPr>
        <w:t xml:space="preserve"> the influence of dosing strategies, perioperative analgesic protocols, and patient-specific characteristics, indicating that methadone’s effectiveness is optimized when integrated into individualized perioperative care</w:t>
      </w:r>
      <w:r w:rsidR="005C730A">
        <w:rPr>
          <w:rFonts w:ascii="Times New Roman" w:eastAsia="Times New Roman" w:hAnsi="Times New Roman" w:cs="Times New Roman"/>
          <w:color w:val="000000" w:themeColor="text1"/>
          <w:sz w:val="24"/>
          <w:szCs w:val="24"/>
          <w:lang w:val="en-US"/>
        </w:rPr>
        <w:t>.</w:t>
      </w:r>
    </w:p>
    <w:p w14:paraId="20A12BAE" w14:textId="52CC0F5F" w:rsidR="00C817CC" w:rsidRPr="00E16670" w:rsidRDefault="3729468D"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lastRenderedPageBreak/>
        <w:t>The safety profile of intraoperative methadone remains a critical consideration given its prolonged half-life. Across the literature, methadone d</w:t>
      </w:r>
      <w:r w:rsidR="1696CC80" w:rsidRPr="343CB678">
        <w:rPr>
          <w:rFonts w:ascii="Times New Roman" w:eastAsia="Times New Roman" w:hAnsi="Times New Roman" w:cs="Times New Roman"/>
          <w:color w:val="000000" w:themeColor="text1"/>
          <w:sz w:val="24"/>
          <w:szCs w:val="24"/>
          <w:lang w:val="en-US"/>
        </w:rPr>
        <w:t>id</w:t>
      </w:r>
      <w:r w:rsidRPr="343CB678">
        <w:rPr>
          <w:rFonts w:ascii="Times New Roman" w:eastAsia="Times New Roman" w:hAnsi="Times New Roman" w:cs="Times New Roman"/>
          <w:color w:val="000000" w:themeColor="text1"/>
          <w:sz w:val="24"/>
          <w:szCs w:val="24"/>
          <w:lang w:val="en-US"/>
        </w:rPr>
        <w:t xml:space="preserve"> not demonstrate an </w:t>
      </w:r>
      <w:r w:rsidR="005C730A">
        <w:rPr>
          <w:rFonts w:ascii="Times New Roman" w:eastAsia="Times New Roman" w:hAnsi="Times New Roman" w:cs="Times New Roman"/>
          <w:color w:val="000000" w:themeColor="text1"/>
          <w:sz w:val="24"/>
          <w:szCs w:val="24"/>
          <w:lang w:val="en-US"/>
        </w:rPr>
        <w:t>increased</w:t>
      </w:r>
      <w:r w:rsidRPr="343CB678">
        <w:rPr>
          <w:rFonts w:ascii="Times New Roman" w:eastAsia="Times New Roman" w:hAnsi="Times New Roman" w:cs="Times New Roman"/>
          <w:color w:val="000000" w:themeColor="text1"/>
          <w:sz w:val="24"/>
          <w:szCs w:val="24"/>
          <w:lang w:val="en-US"/>
        </w:rPr>
        <w:t xml:space="preserve"> incidence of clinically significant respiratory depression, cardiac events, or recovery-related complications compared with short-acting opioids</w:t>
      </w:r>
      <w:r w:rsidR="005C730A">
        <w:rPr>
          <w:rFonts w:ascii="Times New Roman" w:eastAsia="Times New Roman" w:hAnsi="Times New Roman" w:cs="Times New Roman"/>
          <w:color w:val="000000" w:themeColor="text1"/>
          <w:sz w:val="24"/>
          <w:szCs w:val="24"/>
          <w:lang w:val="en-US"/>
        </w:rPr>
        <w:t>.</w:t>
      </w:r>
      <w:r w:rsidRPr="343CB678">
        <w:rPr>
          <w:rFonts w:ascii="Times New Roman" w:eastAsia="Times New Roman" w:hAnsi="Times New Roman" w:cs="Times New Roman"/>
          <w:color w:val="000000" w:themeColor="text1"/>
          <w:sz w:val="24"/>
          <w:szCs w:val="24"/>
          <w:lang w:val="en-US"/>
        </w:rPr>
        <w:t xml:space="preserve"> These findings </w:t>
      </w:r>
      <w:r w:rsidR="52097EE8" w:rsidRPr="343CB678">
        <w:rPr>
          <w:rFonts w:ascii="Times New Roman" w:eastAsia="Times New Roman" w:hAnsi="Times New Roman" w:cs="Times New Roman"/>
          <w:color w:val="000000" w:themeColor="text1"/>
          <w:sz w:val="24"/>
          <w:szCs w:val="24"/>
          <w:lang w:val="en-US"/>
        </w:rPr>
        <w:t>we</w:t>
      </w:r>
      <w:r w:rsidRPr="343CB678">
        <w:rPr>
          <w:rFonts w:ascii="Times New Roman" w:eastAsia="Times New Roman" w:hAnsi="Times New Roman" w:cs="Times New Roman"/>
          <w:color w:val="000000" w:themeColor="text1"/>
          <w:sz w:val="24"/>
          <w:szCs w:val="24"/>
          <w:lang w:val="en-US"/>
        </w:rPr>
        <w:t>re consistent across</w:t>
      </w:r>
      <w:r w:rsidR="283FE3B9" w:rsidRPr="343CB678">
        <w:rPr>
          <w:rFonts w:ascii="Times New Roman" w:eastAsia="Times New Roman" w:hAnsi="Times New Roman" w:cs="Times New Roman"/>
          <w:color w:val="000000" w:themeColor="text1"/>
          <w:sz w:val="24"/>
          <w:szCs w:val="24"/>
          <w:lang w:val="en-US"/>
        </w:rPr>
        <w:t xml:space="preserve"> surgical populations and levels of evidence</w:t>
      </w:r>
      <w:r w:rsidR="005C730A">
        <w:rPr>
          <w:rFonts w:ascii="Times New Roman" w:eastAsia="Times New Roman" w:hAnsi="Times New Roman" w:cs="Times New Roman"/>
          <w:color w:val="000000" w:themeColor="text1"/>
          <w:sz w:val="24"/>
          <w:szCs w:val="24"/>
          <w:lang w:val="en-US"/>
        </w:rPr>
        <w:t>,</w:t>
      </w:r>
      <w:r w:rsidR="283FE3B9" w:rsidRPr="343CB678">
        <w:rPr>
          <w:rFonts w:ascii="Times New Roman" w:eastAsia="Times New Roman" w:hAnsi="Times New Roman" w:cs="Times New Roman"/>
          <w:color w:val="000000" w:themeColor="text1"/>
          <w:sz w:val="24"/>
          <w:szCs w:val="24"/>
          <w:lang w:val="en-US"/>
        </w:rPr>
        <w:t xml:space="preserve"> including </w:t>
      </w:r>
      <w:r w:rsidRPr="343CB678">
        <w:rPr>
          <w:rFonts w:ascii="Times New Roman" w:eastAsia="Times New Roman" w:hAnsi="Times New Roman" w:cs="Times New Roman"/>
          <w:color w:val="000000" w:themeColor="text1"/>
          <w:sz w:val="24"/>
          <w:szCs w:val="24"/>
          <w:lang w:val="en-US"/>
        </w:rPr>
        <w:t>randomized trials, meta-analyses, and retrospective studies. When administered as a single intraoperative dose in monitored settings, methadone d</w:t>
      </w:r>
      <w:r w:rsidR="424E967A" w:rsidRPr="343CB678">
        <w:rPr>
          <w:rFonts w:ascii="Times New Roman" w:eastAsia="Times New Roman" w:hAnsi="Times New Roman" w:cs="Times New Roman"/>
          <w:color w:val="000000" w:themeColor="text1"/>
          <w:sz w:val="24"/>
          <w:szCs w:val="24"/>
          <w:lang w:val="en-US"/>
        </w:rPr>
        <w:t>id</w:t>
      </w:r>
      <w:r w:rsidRPr="343CB678">
        <w:rPr>
          <w:rFonts w:ascii="Times New Roman" w:eastAsia="Times New Roman" w:hAnsi="Times New Roman" w:cs="Times New Roman"/>
          <w:color w:val="000000" w:themeColor="text1"/>
          <w:sz w:val="24"/>
          <w:szCs w:val="24"/>
          <w:lang w:val="en-US"/>
        </w:rPr>
        <w:t xml:space="preserve"> not appear to confer additional perioperative risk. However, variability in study design and limited power to detect rare adverse events highlights the need for continued vigilance and appropriate patient selection</w:t>
      </w:r>
      <w:r w:rsidR="0ED5F642" w:rsidRPr="343CB678">
        <w:rPr>
          <w:rFonts w:ascii="Times New Roman" w:eastAsia="Times New Roman" w:hAnsi="Times New Roman" w:cs="Times New Roman"/>
          <w:color w:val="000000" w:themeColor="text1"/>
          <w:sz w:val="24"/>
          <w:szCs w:val="24"/>
          <w:lang w:val="en-US"/>
        </w:rPr>
        <w:t xml:space="preserve"> (Kendall et al., 2020)</w:t>
      </w:r>
    </w:p>
    <w:p w14:paraId="7208FD8D" w14:textId="252C4204" w:rsidR="00C817CC" w:rsidRPr="00E16670" w:rsidRDefault="3729468D" w:rsidP="1CF5E637">
      <w:pPr>
        <w:spacing w:line="480" w:lineRule="auto"/>
        <w:ind w:firstLine="720"/>
        <w:contextualSpacing/>
        <w:rPr>
          <w:rFonts w:ascii="Times New Roman" w:eastAsia="Times New Roman" w:hAnsi="Times New Roman" w:cs="Times New Roman"/>
          <w:color w:val="000000" w:themeColor="text1"/>
          <w:sz w:val="24"/>
          <w:szCs w:val="24"/>
          <w:lang w:val="en-US"/>
        </w:rPr>
      </w:pPr>
      <w:r w:rsidRPr="1CF5E637">
        <w:rPr>
          <w:rFonts w:ascii="Times New Roman" w:eastAsia="Times New Roman" w:hAnsi="Times New Roman" w:cs="Times New Roman"/>
          <w:color w:val="000000" w:themeColor="text1"/>
          <w:sz w:val="24"/>
          <w:szCs w:val="24"/>
          <w:lang w:val="en-US"/>
        </w:rPr>
        <w:t>An important contribution to this review is the identification of determinants influencing variability in clinical outcomes. Differences in methadone dosing, surgical complexity, perioperative management, and patient-specific factors contribute</w:t>
      </w:r>
      <w:r w:rsidR="4575E999" w:rsidRPr="1CF5E637">
        <w:rPr>
          <w:rFonts w:ascii="Times New Roman" w:eastAsia="Times New Roman" w:hAnsi="Times New Roman" w:cs="Times New Roman"/>
          <w:color w:val="000000" w:themeColor="text1"/>
          <w:sz w:val="24"/>
          <w:szCs w:val="24"/>
          <w:lang w:val="en-US"/>
        </w:rPr>
        <w:t>d</w:t>
      </w:r>
      <w:r w:rsidRPr="1CF5E637">
        <w:rPr>
          <w:rFonts w:ascii="Times New Roman" w:eastAsia="Times New Roman" w:hAnsi="Times New Roman" w:cs="Times New Roman"/>
          <w:color w:val="000000" w:themeColor="text1"/>
          <w:sz w:val="24"/>
          <w:szCs w:val="24"/>
          <w:lang w:val="en-US"/>
        </w:rPr>
        <w:t xml:space="preserve"> to variation in effect size across studies</w:t>
      </w:r>
      <w:r w:rsidR="005C730A" w:rsidRPr="1CF5E637">
        <w:rPr>
          <w:rFonts w:ascii="Times New Roman" w:eastAsia="Times New Roman" w:hAnsi="Times New Roman" w:cs="Times New Roman"/>
          <w:color w:val="000000" w:themeColor="text1"/>
          <w:sz w:val="24"/>
          <w:szCs w:val="24"/>
          <w:lang w:val="en-US"/>
        </w:rPr>
        <w:t>. T</w:t>
      </w:r>
      <w:r w:rsidR="0D11C1CE" w:rsidRPr="1CF5E637">
        <w:rPr>
          <w:rFonts w:ascii="Times New Roman" w:eastAsia="Times New Roman" w:hAnsi="Times New Roman" w:cs="Times New Roman"/>
          <w:color w:val="000000" w:themeColor="text1"/>
          <w:sz w:val="24"/>
          <w:szCs w:val="24"/>
          <w:lang w:val="en-US"/>
        </w:rPr>
        <w:t xml:space="preserve">aken together, the evidence </w:t>
      </w:r>
      <w:r w:rsidRPr="1CF5E637">
        <w:rPr>
          <w:rFonts w:ascii="Times New Roman" w:eastAsia="Times New Roman" w:hAnsi="Times New Roman" w:cs="Times New Roman"/>
          <w:color w:val="000000" w:themeColor="text1"/>
          <w:sz w:val="24"/>
          <w:szCs w:val="24"/>
          <w:lang w:val="en-US"/>
        </w:rPr>
        <w:t>supports a dose-dependent relationship, with higher weight-based dosing associated with more pronounced and sustained analgesic and opioid-sparing effects</w:t>
      </w:r>
      <w:r w:rsidR="5D1FEBD6" w:rsidRPr="1CF5E637">
        <w:rPr>
          <w:rFonts w:ascii="Times New Roman" w:eastAsia="Times New Roman" w:hAnsi="Times New Roman" w:cs="Times New Roman"/>
          <w:color w:val="000000" w:themeColor="text1"/>
          <w:sz w:val="24"/>
          <w:szCs w:val="24"/>
          <w:lang w:val="en-US"/>
        </w:rPr>
        <w:t xml:space="preserve">. </w:t>
      </w:r>
      <w:r w:rsidRPr="1CF5E637">
        <w:rPr>
          <w:rFonts w:ascii="Times New Roman" w:eastAsia="Times New Roman" w:hAnsi="Times New Roman" w:cs="Times New Roman"/>
          <w:color w:val="000000" w:themeColor="text1"/>
          <w:sz w:val="24"/>
          <w:szCs w:val="24"/>
          <w:lang w:val="en-US"/>
        </w:rPr>
        <w:t xml:space="preserve">Similarly, greater benefit </w:t>
      </w:r>
      <w:r w:rsidR="4221D635" w:rsidRPr="1CF5E637">
        <w:rPr>
          <w:rFonts w:ascii="Times New Roman" w:eastAsia="Times New Roman" w:hAnsi="Times New Roman" w:cs="Times New Roman"/>
          <w:color w:val="000000" w:themeColor="text1"/>
          <w:sz w:val="24"/>
          <w:szCs w:val="24"/>
          <w:lang w:val="en-US"/>
        </w:rPr>
        <w:t>wa</w:t>
      </w:r>
      <w:r w:rsidRPr="1CF5E637">
        <w:rPr>
          <w:rFonts w:ascii="Times New Roman" w:eastAsia="Times New Roman" w:hAnsi="Times New Roman" w:cs="Times New Roman"/>
          <w:color w:val="000000" w:themeColor="text1"/>
          <w:sz w:val="24"/>
          <w:szCs w:val="24"/>
          <w:lang w:val="en-US"/>
        </w:rPr>
        <w:t>s observed in higher-intensity surgical procedures, where postoperative pain burden is greate</w:t>
      </w:r>
      <w:r w:rsidR="36F69A2A" w:rsidRPr="1CF5E637">
        <w:rPr>
          <w:rFonts w:ascii="Times New Roman" w:eastAsia="Times New Roman" w:hAnsi="Times New Roman" w:cs="Times New Roman"/>
          <w:color w:val="000000" w:themeColor="text1"/>
          <w:sz w:val="24"/>
          <w:szCs w:val="24"/>
          <w:lang w:val="en-US"/>
        </w:rPr>
        <w:t>r</w:t>
      </w:r>
      <w:r w:rsidR="005C730A" w:rsidRPr="1CF5E637">
        <w:rPr>
          <w:rFonts w:ascii="Times New Roman" w:eastAsia="Times New Roman" w:hAnsi="Times New Roman" w:cs="Times New Roman"/>
          <w:color w:val="000000" w:themeColor="text1"/>
          <w:sz w:val="24"/>
          <w:szCs w:val="24"/>
          <w:lang w:val="en-US"/>
        </w:rPr>
        <w:t xml:space="preserve">. </w:t>
      </w:r>
      <w:r w:rsidRPr="1CF5E637">
        <w:rPr>
          <w:rFonts w:ascii="Times New Roman" w:eastAsia="Times New Roman" w:hAnsi="Times New Roman" w:cs="Times New Roman"/>
          <w:color w:val="000000" w:themeColor="text1"/>
          <w:sz w:val="24"/>
          <w:szCs w:val="24"/>
          <w:lang w:val="en-US"/>
        </w:rPr>
        <w:t>Integration within multimodal and ERAS-based protocols further enhance</w:t>
      </w:r>
      <w:r w:rsidR="02D5DB6A" w:rsidRPr="1CF5E637">
        <w:rPr>
          <w:rFonts w:ascii="Times New Roman" w:eastAsia="Times New Roman" w:hAnsi="Times New Roman" w:cs="Times New Roman"/>
          <w:color w:val="000000" w:themeColor="text1"/>
          <w:sz w:val="24"/>
          <w:szCs w:val="24"/>
          <w:lang w:val="en-US"/>
        </w:rPr>
        <w:t>d</w:t>
      </w:r>
      <w:r w:rsidRPr="1CF5E637">
        <w:rPr>
          <w:rFonts w:ascii="Times New Roman" w:eastAsia="Times New Roman" w:hAnsi="Times New Roman" w:cs="Times New Roman"/>
          <w:color w:val="000000" w:themeColor="text1"/>
          <w:sz w:val="24"/>
          <w:szCs w:val="24"/>
          <w:lang w:val="en-US"/>
        </w:rPr>
        <w:t xml:space="preserve"> outcomes, underscoring the importance of incorporating methadone within a comprehensive analgesic strategy rather than as a standalone intervention</w:t>
      </w:r>
      <w:r w:rsidR="005C730A" w:rsidRPr="1CF5E637">
        <w:rPr>
          <w:rFonts w:ascii="Times New Roman" w:eastAsia="Times New Roman" w:hAnsi="Times New Roman" w:cs="Times New Roman"/>
          <w:color w:val="000000" w:themeColor="text1"/>
          <w:sz w:val="24"/>
          <w:szCs w:val="24"/>
          <w:lang w:val="en-US"/>
        </w:rPr>
        <w:t>.</w:t>
      </w:r>
    </w:p>
    <w:p w14:paraId="60181918" w14:textId="4D0511B6" w:rsidR="00C817CC" w:rsidRPr="00E16670" w:rsidRDefault="3729468D"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 xml:space="preserve">Pharmacologic mechanisms provide a cohesive explanation for these clinical findings. Methadone’s multimodal activity, including μ-opioid receptor agonism, NMDA receptor antagonism, and inhibition of serotonin and norepinephrine reuptake, supports sustained analgesia and attenuation of central sensitization. Its prolonged half-life enables continuous receptor engagement following a single intraoperative dose, reducing the need for repeated </w:t>
      </w:r>
      <w:r w:rsidRPr="343CB678">
        <w:rPr>
          <w:rFonts w:ascii="Times New Roman" w:eastAsia="Times New Roman" w:hAnsi="Times New Roman" w:cs="Times New Roman"/>
          <w:color w:val="000000" w:themeColor="text1"/>
          <w:sz w:val="24"/>
          <w:szCs w:val="24"/>
          <w:lang w:val="en-US"/>
        </w:rPr>
        <w:lastRenderedPageBreak/>
        <w:t>opioid administration and contributing to more stable postoperative pain control. These pharmacologic properties align with the observed reductions in pain and opioid consumption, as well as the consistency of analgesic effects across studies</w:t>
      </w:r>
      <w:r w:rsidR="005C730A">
        <w:rPr>
          <w:rFonts w:ascii="Times New Roman" w:eastAsia="Times New Roman" w:hAnsi="Times New Roman" w:cs="Times New Roman"/>
          <w:color w:val="000000" w:themeColor="text1"/>
          <w:sz w:val="24"/>
          <w:szCs w:val="24"/>
          <w:lang w:val="en-US"/>
        </w:rPr>
        <w:t>.</w:t>
      </w:r>
    </w:p>
    <w:p w14:paraId="57D955CB" w14:textId="7DAA0768" w:rsidR="00C817CC" w:rsidRPr="00E16670" w:rsidRDefault="3729468D"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 xml:space="preserve">Despite the overall strength of evidence, several limitations must be considered. </w:t>
      </w:r>
      <w:r w:rsidR="0083381A">
        <w:rPr>
          <w:rFonts w:ascii="Times New Roman" w:eastAsia="Times New Roman" w:hAnsi="Times New Roman" w:cs="Times New Roman"/>
          <w:color w:val="000000" w:themeColor="text1"/>
          <w:sz w:val="24"/>
          <w:szCs w:val="24"/>
          <w:lang w:val="en-US"/>
        </w:rPr>
        <w:t>Heterogeneity</w:t>
      </w:r>
      <w:r w:rsidRPr="343CB678">
        <w:rPr>
          <w:rFonts w:ascii="Times New Roman" w:eastAsia="Times New Roman" w:hAnsi="Times New Roman" w:cs="Times New Roman"/>
          <w:color w:val="000000" w:themeColor="text1"/>
          <w:sz w:val="24"/>
          <w:szCs w:val="24"/>
          <w:lang w:val="en-US"/>
        </w:rPr>
        <w:t xml:space="preserve"> in study design, dosing strategies, and outcome measurement limit</w:t>
      </w:r>
      <w:r w:rsidR="613E95CC" w:rsidRPr="343CB678">
        <w:rPr>
          <w:rFonts w:ascii="Times New Roman" w:eastAsia="Times New Roman" w:hAnsi="Times New Roman" w:cs="Times New Roman"/>
          <w:color w:val="000000" w:themeColor="text1"/>
          <w:sz w:val="24"/>
          <w:szCs w:val="24"/>
          <w:lang w:val="en-US"/>
        </w:rPr>
        <w:t>s</w:t>
      </w:r>
      <w:r w:rsidRPr="343CB678">
        <w:rPr>
          <w:rFonts w:ascii="Times New Roman" w:eastAsia="Times New Roman" w:hAnsi="Times New Roman" w:cs="Times New Roman"/>
          <w:color w:val="000000" w:themeColor="text1"/>
          <w:sz w:val="24"/>
          <w:szCs w:val="24"/>
          <w:lang w:val="en-US"/>
        </w:rPr>
        <w:t xml:space="preserve"> direct comparability across studies. Differences in pain assessment tools, timing of outcome evaluation, and reporting of opioid consumption introduce</w:t>
      </w:r>
      <w:r w:rsidR="4CBCB832" w:rsidRPr="343CB678">
        <w:rPr>
          <w:rFonts w:ascii="Times New Roman" w:eastAsia="Times New Roman" w:hAnsi="Times New Roman" w:cs="Times New Roman"/>
          <w:color w:val="000000" w:themeColor="text1"/>
          <w:sz w:val="24"/>
          <w:szCs w:val="24"/>
          <w:lang w:val="en-US"/>
        </w:rPr>
        <w:t>d</w:t>
      </w:r>
      <w:r w:rsidRPr="343CB678">
        <w:rPr>
          <w:rFonts w:ascii="Times New Roman" w:eastAsia="Times New Roman" w:hAnsi="Times New Roman" w:cs="Times New Roman"/>
          <w:color w:val="000000" w:themeColor="text1"/>
          <w:sz w:val="24"/>
          <w:szCs w:val="24"/>
          <w:lang w:val="en-US"/>
        </w:rPr>
        <w:t xml:space="preserve"> heterogeneity that complicate</w:t>
      </w:r>
      <w:r w:rsidR="76DEA3F8" w:rsidRPr="343CB678">
        <w:rPr>
          <w:rFonts w:ascii="Times New Roman" w:eastAsia="Times New Roman" w:hAnsi="Times New Roman" w:cs="Times New Roman"/>
          <w:color w:val="000000" w:themeColor="text1"/>
          <w:sz w:val="24"/>
          <w:szCs w:val="24"/>
          <w:lang w:val="en-US"/>
        </w:rPr>
        <w:t>s</w:t>
      </w:r>
      <w:r w:rsidRPr="343CB678">
        <w:rPr>
          <w:rFonts w:ascii="Times New Roman" w:eastAsia="Times New Roman" w:hAnsi="Times New Roman" w:cs="Times New Roman"/>
          <w:color w:val="000000" w:themeColor="text1"/>
          <w:sz w:val="24"/>
          <w:szCs w:val="24"/>
          <w:lang w:val="en-US"/>
        </w:rPr>
        <w:t xml:space="preserve"> synthesis. Additionally, many studies </w:t>
      </w:r>
      <w:r w:rsidR="0B51F614" w:rsidRPr="343CB678">
        <w:rPr>
          <w:rFonts w:ascii="Times New Roman" w:eastAsia="Times New Roman" w:hAnsi="Times New Roman" w:cs="Times New Roman"/>
          <w:color w:val="000000" w:themeColor="text1"/>
          <w:sz w:val="24"/>
          <w:szCs w:val="24"/>
          <w:lang w:val="en-US"/>
        </w:rPr>
        <w:t>we</w:t>
      </w:r>
      <w:r w:rsidRPr="343CB678">
        <w:rPr>
          <w:rFonts w:ascii="Times New Roman" w:eastAsia="Times New Roman" w:hAnsi="Times New Roman" w:cs="Times New Roman"/>
          <w:color w:val="000000" w:themeColor="text1"/>
          <w:sz w:val="24"/>
          <w:szCs w:val="24"/>
          <w:lang w:val="en-US"/>
        </w:rPr>
        <w:t>re underpowered to detect rare adverse events, and certain patient populations, including those with significant comorbidities or opioid tolerance, remain underrepresented</w:t>
      </w:r>
      <w:r w:rsidR="0CFDB04A" w:rsidRPr="343CB678">
        <w:rPr>
          <w:rFonts w:ascii="Times New Roman" w:eastAsia="Times New Roman" w:hAnsi="Times New Roman" w:cs="Times New Roman"/>
          <w:color w:val="000000" w:themeColor="text1"/>
          <w:sz w:val="24"/>
          <w:szCs w:val="24"/>
          <w:lang w:val="en-US"/>
        </w:rPr>
        <w:t xml:space="preserve">. </w:t>
      </w:r>
      <w:r w:rsidRPr="343CB678">
        <w:rPr>
          <w:rFonts w:ascii="Times New Roman" w:eastAsia="Times New Roman" w:hAnsi="Times New Roman" w:cs="Times New Roman"/>
          <w:color w:val="000000" w:themeColor="text1"/>
          <w:sz w:val="24"/>
          <w:szCs w:val="24"/>
          <w:lang w:val="en-US"/>
        </w:rPr>
        <w:t xml:space="preserve">These limitations </w:t>
      </w:r>
      <w:r w:rsidR="33C7ECBE" w:rsidRPr="343CB678">
        <w:rPr>
          <w:rFonts w:ascii="Times New Roman" w:eastAsia="Times New Roman" w:hAnsi="Times New Roman" w:cs="Times New Roman"/>
          <w:color w:val="000000" w:themeColor="text1"/>
          <w:sz w:val="24"/>
          <w:szCs w:val="24"/>
          <w:lang w:val="en-US"/>
        </w:rPr>
        <w:t>require</w:t>
      </w:r>
      <w:r w:rsidRPr="343CB678">
        <w:rPr>
          <w:rFonts w:ascii="Times New Roman" w:eastAsia="Times New Roman" w:hAnsi="Times New Roman" w:cs="Times New Roman"/>
          <w:color w:val="000000" w:themeColor="text1"/>
          <w:sz w:val="24"/>
          <w:szCs w:val="24"/>
          <w:lang w:val="en-US"/>
        </w:rPr>
        <w:t xml:space="preserve"> cautious interpretation </w:t>
      </w:r>
      <w:r w:rsidR="7A571326" w:rsidRPr="343CB678">
        <w:rPr>
          <w:rFonts w:ascii="Times New Roman" w:eastAsia="Times New Roman" w:hAnsi="Times New Roman" w:cs="Times New Roman"/>
          <w:color w:val="000000" w:themeColor="text1"/>
          <w:sz w:val="24"/>
          <w:szCs w:val="24"/>
          <w:lang w:val="en-US"/>
        </w:rPr>
        <w:t xml:space="preserve">of findings </w:t>
      </w:r>
      <w:r w:rsidRPr="343CB678">
        <w:rPr>
          <w:rFonts w:ascii="Times New Roman" w:eastAsia="Times New Roman" w:hAnsi="Times New Roman" w:cs="Times New Roman"/>
          <w:color w:val="000000" w:themeColor="text1"/>
          <w:sz w:val="24"/>
          <w:szCs w:val="24"/>
          <w:lang w:val="en-US"/>
        </w:rPr>
        <w:t>and highlight the need for continued research to refine clinical applications</w:t>
      </w:r>
      <w:r w:rsidR="253139B3" w:rsidRPr="343CB678">
        <w:rPr>
          <w:rFonts w:ascii="Times New Roman" w:eastAsia="Times New Roman" w:hAnsi="Times New Roman" w:cs="Times New Roman"/>
          <w:color w:val="000000" w:themeColor="text1"/>
          <w:sz w:val="24"/>
          <w:szCs w:val="24"/>
          <w:lang w:val="en-US"/>
        </w:rPr>
        <w:t>.</w:t>
      </w:r>
    </w:p>
    <w:p w14:paraId="6BCD80D0" w14:textId="785ED9D5" w:rsidR="00C817CC" w:rsidRPr="00E16670" w:rsidRDefault="3729468D" w:rsidP="343CB678">
      <w:pPr>
        <w:spacing w:line="480" w:lineRule="auto"/>
        <w:ind w:firstLine="720"/>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color w:val="000000" w:themeColor="text1"/>
          <w:sz w:val="24"/>
          <w:szCs w:val="24"/>
          <w:lang w:val="en-US"/>
        </w:rPr>
        <w:t>Overall, the findings of this review position intraoperative methadone as a clinically meaningful component of modern perioperative analgesia. Its ability to provide sustained, multimodal pain control while limiting reliance on repeated opioid administration aligns with current priorities in anesthesia practice. As perioperative care continues to evolve toward standardized, evidence-based</w:t>
      </w:r>
      <w:r w:rsidR="71EEA3CF" w:rsidRPr="343CB678">
        <w:rPr>
          <w:rFonts w:ascii="Times New Roman" w:eastAsia="Times New Roman" w:hAnsi="Times New Roman" w:cs="Times New Roman"/>
          <w:color w:val="000000" w:themeColor="text1"/>
          <w:sz w:val="24"/>
          <w:szCs w:val="24"/>
          <w:lang w:val="en-US"/>
        </w:rPr>
        <w:t>, multimodal</w:t>
      </w:r>
      <w:r w:rsidRPr="343CB678">
        <w:rPr>
          <w:rFonts w:ascii="Times New Roman" w:eastAsia="Times New Roman" w:hAnsi="Times New Roman" w:cs="Times New Roman"/>
          <w:color w:val="000000" w:themeColor="text1"/>
          <w:sz w:val="24"/>
          <w:szCs w:val="24"/>
          <w:lang w:val="en-US"/>
        </w:rPr>
        <w:t xml:space="preserve"> pain management strategies, methadone offers a practical and physiologically grounded approach to improving patient outcomes</w:t>
      </w:r>
      <w:r w:rsidR="005C730A">
        <w:rPr>
          <w:rFonts w:ascii="Times New Roman" w:eastAsia="Times New Roman" w:hAnsi="Times New Roman" w:cs="Times New Roman"/>
          <w:color w:val="000000" w:themeColor="text1"/>
          <w:sz w:val="24"/>
          <w:szCs w:val="24"/>
          <w:lang w:val="en-US"/>
        </w:rPr>
        <w:t>.</w:t>
      </w:r>
    </w:p>
    <w:p w14:paraId="725A07D1" w14:textId="1DF8C746" w:rsidR="00C817CC" w:rsidRPr="00E16670" w:rsidRDefault="25A22E21" w:rsidP="38688B0C">
      <w:pPr>
        <w:spacing w:line="480" w:lineRule="auto"/>
        <w:contextualSpacing/>
        <w:jc w:val="center"/>
        <w:rPr>
          <w:rFonts w:ascii="Times New Roman" w:eastAsia="Times New Roman" w:hAnsi="Times New Roman" w:cs="Times New Roman"/>
          <w:b/>
          <w:bCs/>
          <w:sz w:val="24"/>
          <w:szCs w:val="24"/>
          <w:lang w:val="en-US"/>
        </w:rPr>
      </w:pPr>
      <w:r w:rsidRPr="38688B0C">
        <w:rPr>
          <w:rFonts w:ascii="Times New Roman" w:eastAsia="Times New Roman" w:hAnsi="Times New Roman" w:cs="Times New Roman"/>
          <w:b/>
          <w:bCs/>
          <w:sz w:val="24"/>
          <w:szCs w:val="24"/>
          <w:lang w:val="en-US"/>
        </w:rPr>
        <w:t>Recommendations for Practice</w:t>
      </w:r>
    </w:p>
    <w:p w14:paraId="767102C2" w14:textId="54383570" w:rsidR="00C817CC" w:rsidRPr="00E16670" w:rsidRDefault="25A22E21"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sz w:val="24"/>
          <w:szCs w:val="24"/>
          <w:lang w:val="en-US"/>
        </w:rPr>
        <w:t>The findings of this integrative review support the incorporation of intraoperative intravenous methadone into multimodal analgesic strategies for appropriately selected adult surgical patients. When integrated into perioperative care, methadone offers sustained analgesia and reduces reliance on repeated administration of short-acting opioids, aligning with current priorities in enhanced recovery practices</w:t>
      </w:r>
      <w:r w:rsidR="005C730A">
        <w:rPr>
          <w:rFonts w:ascii="Times New Roman" w:eastAsia="Times New Roman" w:hAnsi="Times New Roman" w:cs="Times New Roman"/>
          <w:sz w:val="24"/>
          <w:szCs w:val="24"/>
          <w:lang w:val="en-US"/>
        </w:rPr>
        <w:t>.</w:t>
      </w:r>
    </w:p>
    <w:p w14:paraId="2F2704CA" w14:textId="6F04FD6F" w:rsidR="00C817CC" w:rsidRPr="00E16670" w:rsidRDefault="7EDC3B32" w:rsidP="343CB678">
      <w:pPr>
        <w:spacing w:line="480" w:lineRule="auto"/>
        <w:ind w:firstLine="720"/>
        <w:contextualSpacing/>
        <w:rPr>
          <w:rFonts w:ascii="Times New Roman" w:eastAsia="Times New Roman" w:hAnsi="Times New Roman" w:cs="Times New Roman"/>
          <w:color w:val="000000" w:themeColor="text1"/>
          <w:sz w:val="24"/>
          <w:szCs w:val="24"/>
          <w:lang w:val="en-US"/>
        </w:rPr>
      </w:pPr>
      <w:r w:rsidRPr="343CB678">
        <w:rPr>
          <w:rFonts w:ascii="Times New Roman" w:eastAsia="Times New Roman" w:hAnsi="Times New Roman" w:cs="Times New Roman"/>
          <w:sz w:val="24"/>
          <w:szCs w:val="24"/>
          <w:lang w:val="en-US"/>
        </w:rPr>
        <w:lastRenderedPageBreak/>
        <w:t>As discussed by D’Souza et al. (2023), the i</w:t>
      </w:r>
      <w:r w:rsidR="25A22E21" w:rsidRPr="343CB678">
        <w:rPr>
          <w:rFonts w:ascii="Times New Roman" w:eastAsia="Times New Roman" w:hAnsi="Times New Roman" w:cs="Times New Roman"/>
          <w:sz w:val="24"/>
          <w:szCs w:val="24"/>
          <w:lang w:val="en-US"/>
        </w:rPr>
        <w:t xml:space="preserve">mplementation of intraoperative methadone should occur within structured, facility-based protocols to </w:t>
      </w:r>
      <w:r w:rsidR="0C66FF3F" w:rsidRPr="343CB678">
        <w:rPr>
          <w:rFonts w:ascii="Times New Roman" w:eastAsia="Times New Roman" w:hAnsi="Times New Roman" w:cs="Times New Roman"/>
          <w:sz w:val="24"/>
          <w:szCs w:val="24"/>
          <w:lang w:val="en-US"/>
        </w:rPr>
        <w:t>ensur</w:t>
      </w:r>
      <w:r w:rsidR="25A22E21" w:rsidRPr="343CB678">
        <w:rPr>
          <w:rFonts w:ascii="Times New Roman" w:eastAsia="Times New Roman" w:hAnsi="Times New Roman" w:cs="Times New Roman"/>
          <w:sz w:val="24"/>
          <w:szCs w:val="24"/>
          <w:lang w:val="en-US"/>
        </w:rPr>
        <w:t>e consistency, safety, and reproducibility of outcomes. Standardized protocols should include clearly defined criteria for patient selection and risk stratification, with consideration of factors such as age, comorbid conditions, and baseline opioid use. Protocol development should also address dosing strategies, timing of administration, intraoperative considerations, and postoperative monitoring requirements. Incorporation within established ERAS pathways may further optimize outcomes by ensuring methadone is utilized as part of a comprehensive, multimodal analgesic approach rather than as a standalone intervention</w:t>
      </w:r>
      <w:r w:rsidR="005C730A">
        <w:rPr>
          <w:rFonts w:ascii="Times New Roman" w:eastAsia="Times New Roman" w:hAnsi="Times New Roman" w:cs="Times New Roman"/>
          <w:sz w:val="24"/>
          <w:szCs w:val="24"/>
          <w:lang w:val="en-US"/>
        </w:rPr>
        <w:t>.</w:t>
      </w:r>
    </w:p>
    <w:p w14:paraId="648BBFB6" w14:textId="018345E5" w:rsidR="005C730A"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A single intraoperative dose of intravenous methadone administered at induction is supported by the available literature as an effective strategy for achieving sustained postoperative analgesia</w:t>
      </w:r>
      <w:r w:rsidR="005C730A">
        <w:rPr>
          <w:rFonts w:ascii="Times New Roman" w:eastAsia="Times New Roman" w:hAnsi="Times New Roman" w:cs="Times New Roman"/>
          <w:sz w:val="24"/>
          <w:szCs w:val="24"/>
          <w:lang w:val="en-US"/>
        </w:rPr>
        <w:t>.</w:t>
      </w:r>
      <w:r w:rsidRPr="343CB678">
        <w:rPr>
          <w:rFonts w:ascii="Times New Roman" w:eastAsia="Times New Roman" w:hAnsi="Times New Roman" w:cs="Times New Roman"/>
          <w:sz w:val="24"/>
          <w:szCs w:val="24"/>
          <w:lang w:val="en-US"/>
        </w:rPr>
        <w:t xml:space="preserve"> Weight-based dosing using ideal body weight is recommended to standardize administration and minimize variability in drug exposure</w:t>
      </w:r>
      <w:r w:rsidR="14BA992A" w:rsidRPr="343CB678">
        <w:rPr>
          <w:rFonts w:ascii="Times New Roman" w:eastAsia="Times New Roman" w:hAnsi="Times New Roman" w:cs="Times New Roman"/>
          <w:color w:val="000000" w:themeColor="text1"/>
          <w:sz w:val="24"/>
          <w:szCs w:val="24"/>
          <w:lang w:val="en-US"/>
        </w:rPr>
        <w:t>.</w:t>
      </w:r>
      <w:r w:rsidRPr="343CB678">
        <w:rPr>
          <w:rFonts w:ascii="Times New Roman" w:eastAsia="Times New Roman" w:hAnsi="Times New Roman" w:cs="Times New Roman"/>
          <w:sz w:val="24"/>
          <w:szCs w:val="24"/>
          <w:lang w:val="en-US"/>
        </w:rPr>
        <w:t xml:space="preserve"> Evidence supports a dosing range of approximately 0.2–0.25 mg/kg, with consideration of dose reduction (~0.1 mg/kg) in patients with increased risk for opioid sensitivity, including older adults, individuals with obstructive sleep apnea, hepatic impairment, or opioid-naïve status</w:t>
      </w:r>
      <w:r w:rsidR="14818BAD" w:rsidRPr="343CB678">
        <w:rPr>
          <w:rFonts w:ascii="Times New Roman" w:eastAsia="Times New Roman" w:hAnsi="Times New Roman" w:cs="Times New Roman"/>
          <w:color w:val="000000" w:themeColor="text1"/>
          <w:sz w:val="24"/>
          <w:szCs w:val="24"/>
          <w:lang w:val="en-US"/>
        </w:rPr>
        <w:t>.</w:t>
      </w:r>
      <w:r w:rsidRPr="343CB678">
        <w:rPr>
          <w:rFonts w:ascii="Times New Roman" w:eastAsia="Times New Roman" w:hAnsi="Times New Roman" w:cs="Times New Roman"/>
          <w:sz w:val="24"/>
          <w:szCs w:val="24"/>
          <w:lang w:val="en-US"/>
        </w:rPr>
        <w:t xml:space="preserve"> Providers should recognize that subtherapeutic dosing may attenuate the analgesic and opioid-sparing benefits observed in the literatur</w:t>
      </w:r>
      <w:r w:rsidR="1E87FBEA" w:rsidRPr="343CB678">
        <w:rPr>
          <w:rFonts w:ascii="Times New Roman" w:eastAsia="Times New Roman" w:hAnsi="Times New Roman" w:cs="Times New Roman"/>
          <w:sz w:val="24"/>
          <w:szCs w:val="24"/>
          <w:lang w:val="en-US"/>
        </w:rPr>
        <w:t>e</w:t>
      </w:r>
      <w:r w:rsidR="005C730A">
        <w:rPr>
          <w:rFonts w:ascii="Times New Roman" w:eastAsia="Times New Roman" w:hAnsi="Times New Roman" w:cs="Times New Roman"/>
          <w:sz w:val="24"/>
          <w:szCs w:val="24"/>
          <w:lang w:val="en-US"/>
        </w:rPr>
        <w:t>.</w:t>
      </w:r>
    </w:p>
    <w:p w14:paraId="3C65E631" w14:textId="08EF48A7"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 xml:space="preserve">Intraoperative methadone should be administered in conjunction with established multimodal analgesic strategies, including non-opioid adjuncts such as nonsteroidal anti-inflammatory drugs and corticosteroids. Integration with adjuncts such as ketamine may further enhance analgesic outcomes through complementary mechanisms of action. Understanding methadone’s multimodal pharmacologic profile supports its role within these synergistic </w:t>
      </w:r>
      <w:r w:rsidRPr="343CB678">
        <w:rPr>
          <w:rFonts w:ascii="Times New Roman" w:eastAsia="Times New Roman" w:hAnsi="Times New Roman" w:cs="Times New Roman"/>
          <w:sz w:val="24"/>
          <w:szCs w:val="24"/>
          <w:lang w:val="en-US"/>
        </w:rPr>
        <w:lastRenderedPageBreak/>
        <w:t>analgesic approaches and reinforces its use as a component of comprehensive perioperative pain management.</w:t>
      </w:r>
    </w:p>
    <w:p w14:paraId="26A0B571" w14:textId="77F589D1"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 xml:space="preserve">Appropriate postoperative monitoring remains essential despite the favorable safety profile demonstrated in the literature. Patients receiving intraoperative methadone should undergo standard PACU monitoring, including respiratory and cardiac assessment, with attention to sedation level and oxygenation. Antiemetic prophylaxis should be administered in accordance with </w:t>
      </w:r>
      <w:r w:rsidR="372CB359" w:rsidRPr="343CB678">
        <w:rPr>
          <w:rFonts w:ascii="Times New Roman" w:eastAsia="Times New Roman" w:hAnsi="Times New Roman" w:cs="Times New Roman"/>
          <w:sz w:val="24"/>
          <w:szCs w:val="24"/>
          <w:lang w:val="en-US"/>
        </w:rPr>
        <w:t>standard practices</w:t>
      </w:r>
      <w:r w:rsidRPr="343CB678">
        <w:rPr>
          <w:rFonts w:ascii="Times New Roman" w:eastAsia="Times New Roman" w:hAnsi="Times New Roman" w:cs="Times New Roman"/>
          <w:sz w:val="24"/>
          <w:szCs w:val="24"/>
          <w:lang w:val="en-US"/>
        </w:rPr>
        <w:t>.</w:t>
      </w:r>
      <w:r w:rsidR="739404EC" w:rsidRPr="343CB678">
        <w:rPr>
          <w:rFonts w:ascii="Times New Roman" w:eastAsia="Times New Roman" w:hAnsi="Times New Roman" w:cs="Times New Roman"/>
          <w:sz w:val="24"/>
          <w:szCs w:val="24"/>
          <w:lang w:val="en-US"/>
        </w:rPr>
        <w:t xml:space="preserve"> </w:t>
      </w:r>
      <w:r w:rsidRPr="343CB678">
        <w:rPr>
          <w:rFonts w:ascii="Times New Roman" w:eastAsia="Times New Roman" w:hAnsi="Times New Roman" w:cs="Times New Roman"/>
          <w:sz w:val="24"/>
          <w:szCs w:val="24"/>
          <w:lang w:val="en-US"/>
        </w:rPr>
        <w:t>Given methadone’s prolonged duration of action, anesthesia providers should anticipate reduced need for postoperative opioid rescue and avoid unnecessary administration of additional short-acting opioids when adequate analgesia is achieved</w:t>
      </w:r>
      <w:r w:rsidR="392DDF57" w:rsidRPr="343CB678">
        <w:rPr>
          <w:rFonts w:ascii="Times New Roman" w:eastAsia="Times New Roman" w:hAnsi="Times New Roman" w:cs="Times New Roman"/>
          <w:color w:val="000000" w:themeColor="text1"/>
          <w:sz w:val="24"/>
          <w:szCs w:val="24"/>
          <w:lang w:val="en-US"/>
        </w:rPr>
        <w:t>.</w:t>
      </w:r>
    </w:p>
    <w:p w14:paraId="2CDC9D22" w14:textId="49FD93ED"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Successful implementation of intraoperative methadone also requires interdisciplinary collaboration and provider education. Barriers to adoption, including limited familiarity with methadone pharmacology, institutional prescribing practices, and availability, should be addressed through targeted education and protocol development. Collaboration among anesthesia providers, surgeons, pharmacists, and recovery staff is essential to ensure safe and effective integration into clinical practice</w:t>
      </w:r>
      <w:r w:rsidR="0FEAB4DD" w:rsidRPr="343CB678">
        <w:rPr>
          <w:rFonts w:ascii="Times New Roman" w:eastAsia="Times New Roman" w:hAnsi="Times New Roman" w:cs="Times New Roman"/>
          <w:sz w:val="24"/>
          <w:szCs w:val="24"/>
          <w:lang w:val="en-US"/>
        </w:rPr>
        <w:t xml:space="preserve">. </w:t>
      </w:r>
    </w:p>
    <w:p w14:paraId="24FB0C6D" w14:textId="5B02E6FA"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Finally, institutions adopting intraoperative methadone protocols should incorporate quality improvement measures to evaluate safety and effectiveness. Outcome tracking should include postoperative opioid consumption, pain scores, recovery metrics such as PACU length of stay, and adverse events</w:t>
      </w:r>
      <w:r w:rsidR="005C730A">
        <w:rPr>
          <w:rFonts w:ascii="Times New Roman" w:eastAsia="Times New Roman" w:hAnsi="Times New Roman" w:cs="Times New Roman"/>
          <w:sz w:val="24"/>
          <w:szCs w:val="24"/>
          <w:lang w:val="en-US"/>
        </w:rPr>
        <w:t>,</w:t>
      </w:r>
      <w:r w:rsidRPr="343CB678">
        <w:rPr>
          <w:rFonts w:ascii="Times New Roman" w:eastAsia="Times New Roman" w:hAnsi="Times New Roman" w:cs="Times New Roman"/>
          <w:sz w:val="24"/>
          <w:szCs w:val="24"/>
          <w:lang w:val="en-US"/>
        </w:rPr>
        <w:t xml:space="preserve"> including respiratory depression, sedation, and postoperative nausea and vomiting. Ongoing evaluation of these metrics will support </w:t>
      </w:r>
      <w:r w:rsidR="47E2810D" w:rsidRPr="343CB678">
        <w:rPr>
          <w:rFonts w:ascii="Times New Roman" w:eastAsia="Times New Roman" w:hAnsi="Times New Roman" w:cs="Times New Roman"/>
          <w:sz w:val="24"/>
          <w:szCs w:val="24"/>
          <w:lang w:val="en-US"/>
        </w:rPr>
        <w:t xml:space="preserve">protocol </w:t>
      </w:r>
      <w:r w:rsidRPr="343CB678">
        <w:rPr>
          <w:rFonts w:ascii="Times New Roman" w:eastAsia="Times New Roman" w:hAnsi="Times New Roman" w:cs="Times New Roman"/>
          <w:sz w:val="24"/>
          <w:szCs w:val="24"/>
          <w:lang w:val="en-US"/>
        </w:rPr>
        <w:t>refinement and ensure alignment with best practices in perioperative pain management</w:t>
      </w:r>
      <w:r w:rsidR="005C730A">
        <w:rPr>
          <w:rFonts w:ascii="Times New Roman" w:eastAsia="Times New Roman" w:hAnsi="Times New Roman" w:cs="Times New Roman"/>
          <w:sz w:val="24"/>
          <w:szCs w:val="24"/>
          <w:lang w:val="en-US"/>
        </w:rPr>
        <w:t>.</w:t>
      </w:r>
    </w:p>
    <w:p w14:paraId="24782DE6" w14:textId="311680BF" w:rsidR="00C817CC" w:rsidRPr="00E16670" w:rsidRDefault="25A22E21" w:rsidP="38688B0C">
      <w:pPr>
        <w:spacing w:line="480" w:lineRule="auto"/>
        <w:contextualSpacing/>
        <w:jc w:val="center"/>
        <w:rPr>
          <w:rFonts w:ascii="Times New Roman" w:eastAsia="Times New Roman" w:hAnsi="Times New Roman" w:cs="Times New Roman"/>
          <w:b/>
          <w:bCs/>
          <w:sz w:val="24"/>
          <w:szCs w:val="24"/>
          <w:lang w:val="en-US"/>
        </w:rPr>
      </w:pPr>
      <w:r w:rsidRPr="38688B0C">
        <w:rPr>
          <w:rFonts w:ascii="Times New Roman" w:eastAsia="Times New Roman" w:hAnsi="Times New Roman" w:cs="Times New Roman"/>
          <w:b/>
          <w:bCs/>
          <w:sz w:val="24"/>
          <w:szCs w:val="24"/>
          <w:lang w:val="en-US"/>
        </w:rPr>
        <w:t>Recommendations for Research</w:t>
      </w:r>
    </w:p>
    <w:p w14:paraId="4F623894" w14:textId="2C7FDCD0"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lastRenderedPageBreak/>
        <w:t>Findings from this integrative review highlight several important gaps in the current evidence base and support the need for further research to refine the clinical application of intraoperative methadone in perioperative pain management. Although existing literature demonstrate</w:t>
      </w:r>
      <w:r w:rsidR="3FE55BBB" w:rsidRPr="343CB678">
        <w:rPr>
          <w:rFonts w:ascii="Times New Roman" w:eastAsia="Times New Roman" w:hAnsi="Times New Roman" w:cs="Times New Roman"/>
          <w:sz w:val="24"/>
          <w:szCs w:val="24"/>
          <w:lang w:val="en-US"/>
        </w:rPr>
        <w:t xml:space="preserve">d </w:t>
      </w:r>
      <w:r w:rsidRPr="343CB678">
        <w:rPr>
          <w:rFonts w:ascii="Times New Roman" w:eastAsia="Times New Roman" w:hAnsi="Times New Roman" w:cs="Times New Roman"/>
          <w:sz w:val="24"/>
          <w:szCs w:val="24"/>
          <w:lang w:val="en-US"/>
        </w:rPr>
        <w:t xml:space="preserve">consistent improvements in postoperative pain control and reductions in opioid consumption, </w:t>
      </w:r>
      <w:r w:rsidR="0083381A">
        <w:rPr>
          <w:rFonts w:ascii="Times New Roman" w:eastAsia="Times New Roman" w:hAnsi="Times New Roman" w:cs="Times New Roman"/>
          <w:sz w:val="24"/>
          <w:szCs w:val="24"/>
          <w:lang w:val="en-US"/>
        </w:rPr>
        <w:t>heterogeneity</w:t>
      </w:r>
      <w:r w:rsidRPr="343CB678">
        <w:rPr>
          <w:rFonts w:ascii="Times New Roman" w:eastAsia="Times New Roman" w:hAnsi="Times New Roman" w:cs="Times New Roman"/>
          <w:sz w:val="24"/>
          <w:szCs w:val="24"/>
          <w:lang w:val="en-US"/>
        </w:rPr>
        <w:t xml:space="preserve"> in study design, dosing strategies, and patient populations limits the ability to establish standardized clinical guidelines</w:t>
      </w:r>
      <w:r w:rsidR="69555D17" w:rsidRPr="343CB678">
        <w:rPr>
          <w:rFonts w:ascii="Times New Roman" w:eastAsia="Times New Roman" w:hAnsi="Times New Roman" w:cs="Times New Roman"/>
          <w:sz w:val="24"/>
          <w:szCs w:val="24"/>
          <w:lang w:val="en-US"/>
        </w:rPr>
        <w:t>.</w:t>
      </w:r>
    </w:p>
    <w:p w14:paraId="17A8282E" w14:textId="05E43D5B"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A primary area for future research is the development of large-scale, randomized controlled trials utilizing standardized perioperative protocols. Current evidence, while supportive, is derived from studies with heterogeneous methodologies, limiting direct comparability and generalizability</w:t>
      </w:r>
      <w:r w:rsidR="4137F354" w:rsidRPr="343CB678">
        <w:rPr>
          <w:rFonts w:ascii="Times New Roman" w:eastAsia="Times New Roman" w:hAnsi="Times New Roman" w:cs="Times New Roman"/>
          <w:sz w:val="24"/>
          <w:szCs w:val="24"/>
          <w:lang w:val="en-US"/>
        </w:rPr>
        <w:t>.</w:t>
      </w:r>
      <w:r w:rsidRPr="343CB678">
        <w:rPr>
          <w:rFonts w:ascii="Times New Roman" w:eastAsia="Times New Roman" w:hAnsi="Times New Roman" w:cs="Times New Roman"/>
          <w:sz w:val="24"/>
          <w:szCs w:val="24"/>
          <w:lang w:val="en-US"/>
        </w:rPr>
        <w:t xml:space="preserve"> Future trials should aim to standardize dosing strategies, timing of administration, and multimodal analgesic regimens to better isolate the effect of intraoperative methadone and strengthen causal inference</w:t>
      </w:r>
      <w:r w:rsidR="71ADA315" w:rsidRPr="343CB678">
        <w:rPr>
          <w:rFonts w:ascii="Times New Roman" w:eastAsia="Times New Roman" w:hAnsi="Times New Roman" w:cs="Times New Roman"/>
          <w:sz w:val="24"/>
          <w:szCs w:val="24"/>
          <w:lang w:val="en-US"/>
        </w:rPr>
        <w:t xml:space="preserve">. </w:t>
      </w:r>
    </w:p>
    <w:p w14:paraId="229CF091" w14:textId="5D7398D3" w:rsidR="00C817CC" w:rsidRPr="00E16670" w:rsidRDefault="25A22E21" w:rsidP="1193C325">
      <w:pPr>
        <w:spacing w:line="480" w:lineRule="auto"/>
        <w:ind w:firstLine="720"/>
        <w:contextualSpacing/>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Further investigation is also needed to define optimal dosing strategies and patient selection criteria. Evidence from this review demonstrate</w:t>
      </w:r>
      <w:r w:rsidR="2AC8F9D7" w:rsidRPr="1193C325">
        <w:rPr>
          <w:rFonts w:ascii="Times New Roman" w:eastAsia="Times New Roman" w:hAnsi="Times New Roman" w:cs="Times New Roman"/>
          <w:sz w:val="24"/>
          <w:szCs w:val="24"/>
          <w:lang w:val="en-US"/>
        </w:rPr>
        <w:t>d</w:t>
      </w:r>
      <w:r w:rsidRPr="1193C325">
        <w:rPr>
          <w:rFonts w:ascii="Times New Roman" w:eastAsia="Times New Roman" w:hAnsi="Times New Roman" w:cs="Times New Roman"/>
          <w:sz w:val="24"/>
          <w:szCs w:val="24"/>
          <w:lang w:val="en-US"/>
        </w:rPr>
        <w:t xml:space="preserve"> a dose-dependent relationship, yet variability in weight-based dosing approaches and lack of consensus on dose thresholds contribute</w:t>
      </w:r>
      <w:r w:rsidR="48CFED2A" w:rsidRPr="1193C325">
        <w:rPr>
          <w:rFonts w:ascii="Times New Roman" w:eastAsia="Times New Roman" w:hAnsi="Times New Roman" w:cs="Times New Roman"/>
          <w:sz w:val="24"/>
          <w:szCs w:val="24"/>
          <w:lang w:val="en-US"/>
        </w:rPr>
        <w:t>d t</w:t>
      </w:r>
      <w:r w:rsidRPr="1193C325">
        <w:rPr>
          <w:rFonts w:ascii="Times New Roman" w:eastAsia="Times New Roman" w:hAnsi="Times New Roman" w:cs="Times New Roman"/>
          <w:sz w:val="24"/>
          <w:szCs w:val="24"/>
          <w:lang w:val="en-US"/>
        </w:rPr>
        <w:t>o inconsistent outcomes</w:t>
      </w:r>
      <w:r w:rsidR="680C4592" w:rsidRPr="1193C325">
        <w:rPr>
          <w:rFonts w:ascii="Times New Roman" w:eastAsia="Times New Roman" w:hAnsi="Times New Roman" w:cs="Times New Roman"/>
          <w:sz w:val="24"/>
          <w:szCs w:val="24"/>
          <w:lang w:val="en-US"/>
        </w:rPr>
        <w:t>.</w:t>
      </w:r>
      <w:r w:rsidRPr="1193C325">
        <w:rPr>
          <w:rFonts w:ascii="Times New Roman" w:eastAsia="Times New Roman" w:hAnsi="Times New Roman" w:cs="Times New Roman"/>
          <w:sz w:val="24"/>
          <w:szCs w:val="24"/>
          <w:lang w:val="en-US"/>
        </w:rPr>
        <w:t xml:space="preserve"> Future research should focus on refining dosing ranges, evaluating the impact of dose capping strategies, and determining how patient-specific factors</w:t>
      </w:r>
      <w:r w:rsidR="0079621E">
        <w:rPr>
          <w:rFonts w:ascii="Times New Roman" w:eastAsia="Times New Roman" w:hAnsi="Times New Roman" w:cs="Times New Roman"/>
          <w:sz w:val="24"/>
          <w:szCs w:val="24"/>
          <w:lang w:val="en-US"/>
        </w:rPr>
        <w:t>,</w:t>
      </w:r>
      <w:r w:rsidR="68CCF1B3" w:rsidRPr="1193C325">
        <w:rPr>
          <w:rFonts w:ascii="Times New Roman" w:eastAsia="Times New Roman" w:hAnsi="Times New Roman" w:cs="Times New Roman"/>
          <w:sz w:val="24"/>
          <w:szCs w:val="24"/>
          <w:lang w:val="en-US"/>
        </w:rPr>
        <w:t xml:space="preserve"> </w:t>
      </w:r>
      <w:r w:rsidRPr="1193C325">
        <w:rPr>
          <w:rFonts w:ascii="Times New Roman" w:eastAsia="Times New Roman" w:hAnsi="Times New Roman" w:cs="Times New Roman"/>
          <w:sz w:val="24"/>
          <w:szCs w:val="24"/>
          <w:lang w:val="en-US"/>
        </w:rPr>
        <w:t>including age, comorbid conditions, and baseline opioid use</w:t>
      </w:r>
      <w:r w:rsidR="1A9B02B8" w:rsidRPr="1193C325">
        <w:rPr>
          <w:rFonts w:ascii="Times New Roman" w:eastAsia="Times New Roman" w:hAnsi="Times New Roman" w:cs="Times New Roman"/>
          <w:sz w:val="24"/>
          <w:szCs w:val="24"/>
          <w:lang w:val="en-US"/>
        </w:rPr>
        <w:t>, i</w:t>
      </w:r>
      <w:r w:rsidRPr="1193C325">
        <w:rPr>
          <w:rFonts w:ascii="Times New Roman" w:eastAsia="Times New Roman" w:hAnsi="Times New Roman" w:cs="Times New Roman"/>
          <w:sz w:val="24"/>
          <w:szCs w:val="24"/>
          <w:lang w:val="en-US"/>
        </w:rPr>
        <w:t>nfluence both efficacy and safety.</w:t>
      </w:r>
    </w:p>
    <w:p w14:paraId="760543A3" w14:textId="7EE1D163"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 xml:space="preserve">The role of intraoperative methadone within ERAS pathways represents another important area for investigation. While current findings suggest that methadone enhances multimodal analgesia, </w:t>
      </w:r>
      <w:r w:rsidR="40434FFE" w:rsidRPr="343CB678">
        <w:rPr>
          <w:rFonts w:ascii="Times New Roman" w:eastAsia="Times New Roman" w:hAnsi="Times New Roman" w:cs="Times New Roman"/>
          <w:sz w:val="24"/>
          <w:szCs w:val="24"/>
          <w:lang w:val="en-US"/>
        </w:rPr>
        <w:t>future</w:t>
      </w:r>
      <w:r w:rsidRPr="343CB678">
        <w:rPr>
          <w:rFonts w:ascii="Times New Roman" w:eastAsia="Times New Roman" w:hAnsi="Times New Roman" w:cs="Times New Roman"/>
          <w:sz w:val="24"/>
          <w:szCs w:val="24"/>
          <w:lang w:val="en-US"/>
        </w:rPr>
        <w:t xml:space="preserve"> research is needed to evaluate its integration </w:t>
      </w:r>
      <w:r w:rsidR="630A3768" w:rsidRPr="343CB678">
        <w:rPr>
          <w:rFonts w:ascii="Times New Roman" w:eastAsia="Times New Roman" w:hAnsi="Times New Roman" w:cs="Times New Roman"/>
          <w:sz w:val="24"/>
          <w:szCs w:val="24"/>
          <w:lang w:val="en-US"/>
        </w:rPr>
        <w:t>into</w:t>
      </w:r>
      <w:r w:rsidRPr="343CB678">
        <w:rPr>
          <w:rFonts w:ascii="Times New Roman" w:eastAsia="Times New Roman" w:hAnsi="Times New Roman" w:cs="Times New Roman"/>
          <w:sz w:val="24"/>
          <w:szCs w:val="24"/>
          <w:lang w:val="en-US"/>
        </w:rPr>
        <w:t xml:space="preserve"> standardized ERAS protocols</w:t>
      </w:r>
      <w:r w:rsidR="102F64AD" w:rsidRPr="343CB678">
        <w:rPr>
          <w:rFonts w:ascii="Times New Roman" w:eastAsia="Times New Roman" w:hAnsi="Times New Roman" w:cs="Times New Roman"/>
          <w:sz w:val="24"/>
          <w:szCs w:val="24"/>
          <w:lang w:val="en-US"/>
        </w:rPr>
        <w:t xml:space="preserve"> </w:t>
      </w:r>
      <w:r w:rsidRPr="343CB678">
        <w:rPr>
          <w:rFonts w:ascii="Times New Roman" w:eastAsia="Times New Roman" w:hAnsi="Times New Roman" w:cs="Times New Roman"/>
          <w:sz w:val="24"/>
          <w:szCs w:val="24"/>
          <w:lang w:val="en-US"/>
        </w:rPr>
        <w:t>and to determine its relative contribution when combined with other adjuncts</w:t>
      </w:r>
      <w:r w:rsidR="37F57EDE" w:rsidRPr="343CB678">
        <w:rPr>
          <w:rFonts w:ascii="Times New Roman" w:eastAsia="Times New Roman" w:hAnsi="Times New Roman" w:cs="Times New Roman"/>
          <w:sz w:val="24"/>
          <w:szCs w:val="24"/>
          <w:lang w:val="en-US"/>
        </w:rPr>
        <w:t>.</w:t>
      </w:r>
      <w:r w:rsidRPr="343CB678">
        <w:rPr>
          <w:rFonts w:ascii="Times New Roman" w:eastAsia="Times New Roman" w:hAnsi="Times New Roman" w:cs="Times New Roman"/>
          <w:sz w:val="24"/>
          <w:szCs w:val="24"/>
          <w:lang w:val="en-US"/>
        </w:rPr>
        <w:t xml:space="preserve"> </w:t>
      </w:r>
      <w:r w:rsidRPr="343CB678">
        <w:rPr>
          <w:rFonts w:ascii="Times New Roman" w:eastAsia="Times New Roman" w:hAnsi="Times New Roman" w:cs="Times New Roman"/>
          <w:sz w:val="24"/>
          <w:szCs w:val="24"/>
          <w:lang w:val="en-US"/>
        </w:rPr>
        <w:lastRenderedPageBreak/>
        <w:t>This includes identifying specific surgical populations and procedural contexts in which methadone provides the greatest clinical benefit</w:t>
      </w:r>
      <w:r w:rsidR="0C205396" w:rsidRPr="343CB678">
        <w:rPr>
          <w:rFonts w:ascii="Times New Roman" w:eastAsia="Times New Roman" w:hAnsi="Times New Roman" w:cs="Times New Roman"/>
          <w:sz w:val="24"/>
          <w:szCs w:val="24"/>
          <w:lang w:val="en-US"/>
        </w:rPr>
        <w:t>.</w:t>
      </w:r>
    </w:p>
    <w:p w14:paraId="685B77F4" w14:textId="5DCD0080"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Evaluation of methadone use in higher-risk patient populations remains limited and warrants further study. Populations including older adults, patients with obstructive sleep apnea, hepatic dysfunction, and chronic opioid use are underrepresented in the literature. Targeted research in these groups is necessary to better characterize safety profiles, optimize dosing strategies, and inform risk stratification in clinical practice.</w:t>
      </w:r>
    </w:p>
    <w:p w14:paraId="626912A9" w14:textId="2344830E" w:rsidR="00C817CC" w:rsidRPr="00E16670" w:rsidRDefault="25A22E21" w:rsidP="343CB678">
      <w:pPr>
        <w:spacing w:line="480" w:lineRule="auto"/>
        <w:ind w:firstLine="720"/>
        <w:contextualSpacing/>
        <w:rPr>
          <w:rFonts w:ascii="Times New Roman" w:eastAsia="Times New Roman" w:hAnsi="Times New Roman" w:cs="Times New Roman"/>
          <w:sz w:val="24"/>
          <w:szCs w:val="24"/>
          <w:lang w:val="en-US"/>
        </w:rPr>
      </w:pPr>
      <w:r w:rsidRPr="343CB678">
        <w:rPr>
          <w:rFonts w:ascii="Times New Roman" w:eastAsia="Times New Roman" w:hAnsi="Times New Roman" w:cs="Times New Roman"/>
          <w:sz w:val="24"/>
          <w:szCs w:val="24"/>
          <w:lang w:val="en-US"/>
        </w:rPr>
        <w:t xml:space="preserve">Long-term outcomes associated with intraoperative methadone use also represent a critical gap in the literature. While short-term improvements in postoperative pain and opioid consumption are well established, limited data </w:t>
      </w:r>
      <w:r w:rsidR="005C730A">
        <w:rPr>
          <w:rFonts w:ascii="Times New Roman" w:eastAsia="Times New Roman" w:hAnsi="Times New Roman" w:cs="Times New Roman"/>
          <w:sz w:val="24"/>
          <w:szCs w:val="24"/>
          <w:lang w:val="en-US"/>
        </w:rPr>
        <w:t>exist</w:t>
      </w:r>
      <w:r w:rsidRPr="343CB678">
        <w:rPr>
          <w:rFonts w:ascii="Times New Roman" w:eastAsia="Times New Roman" w:hAnsi="Times New Roman" w:cs="Times New Roman"/>
          <w:sz w:val="24"/>
          <w:szCs w:val="24"/>
          <w:lang w:val="en-US"/>
        </w:rPr>
        <w:t xml:space="preserve"> regarding its impact on persistent postoperative pain, long-term opioid use, and recovery trajectories. Future studies should incorporate extended follow-up periods to evaluate these outcomes and determine the broader implications of methadone use on patient recovery and opioid use</w:t>
      </w:r>
      <w:r w:rsidR="1A5805E4" w:rsidRPr="343CB678">
        <w:rPr>
          <w:rFonts w:ascii="Times New Roman" w:eastAsia="Times New Roman" w:hAnsi="Times New Roman" w:cs="Times New Roman"/>
          <w:sz w:val="24"/>
          <w:szCs w:val="24"/>
          <w:lang w:val="en-US"/>
        </w:rPr>
        <w:t xml:space="preserve">. </w:t>
      </w:r>
    </w:p>
    <w:p w14:paraId="17F89170" w14:textId="78CFD2DF" w:rsidR="00C817CC" w:rsidRPr="00E16670" w:rsidRDefault="25A22E21" w:rsidP="1193C325">
      <w:pPr>
        <w:spacing w:line="480" w:lineRule="auto"/>
        <w:ind w:firstLine="720"/>
        <w:contextualSpacing/>
        <w:rPr>
          <w:rFonts w:ascii="Times New Roman" w:eastAsia="Times New Roman" w:hAnsi="Times New Roman" w:cs="Times New Roman"/>
          <w:sz w:val="24"/>
          <w:szCs w:val="24"/>
          <w:lang w:val="en-US"/>
        </w:rPr>
      </w:pPr>
      <w:r w:rsidRPr="1193C325">
        <w:rPr>
          <w:rFonts w:ascii="Times New Roman" w:eastAsia="Times New Roman" w:hAnsi="Times New Roman" w:cs="Times New Roman"/>
          <w:sz w:val="24"/>
          <w:szCs w:val="24"/>
          <w:lang w:val="en-US"/>
        </w:rPr>
        <w:t>Finally, additional research is needed to evaluate the use of intraoperative methadone in ambulatory and outpatient surgical settings. Although preliminary evidence suggest</w:t>
      </w:r>
      <w:r w:rsidR="0FDF2F95" w:rsidRPr="1193C325">
        <w:rPr>
          <w:rFonts w:ascii="Times New Roman" w:eastAsia="Times New Roman" w:hAnsi="Times New Roman" w:cs="Times New Roman"/>
          <w:sz w:val="24"/>
          <w:szCs w:val="24"/>
          <w:lang w:val="en-US"/>
        </w:rPr>
        <w:t xml:space="preserve">s </w:t>
      </w:r>
      <w:r w:rsidRPr="1193C325">
        <w:rPr>
          <w:rFonts w:ascii="Times New Roman" w:eastAsia="Times New Roman" w:hAnsi="Times New Roman" w:cs="Times New Roman"/>
          <w:sz w:val="24"/>
          <w:szCs w:val="24"/>
          <w:lang w:val="en-US"/>
        </w:rPr>
        <w:t xml:space="preserve">potential benefit, concerns remain regarding its prolonged duration of action in patients discharged on </w:t>
      </w:r>
      <w:r w:rsidR="72D785CA" w:rsidRPr="1193C325">
        <w:rPr>
          <w:rFonts w:ascii="Times New Roman" w:eastAsia="Times New Roman" w:hAnsi="Times New Roman" w:cs="Times New Roman"/>
          <w:sz w:val="24"/>
          <w:szCs w:val="24"/>
          <w:lang w:val="en-US"/>
        </w:rPr>
        <w:t xml:space="preserve">varying </w:t>
      </w:r>
      <w:r w:rsidRPr="1193C325">
        <w:rPr>
          <w:rFonts w:ascii="Times New Roman" w:eastAsia="Times New Roman" w:hAnsi="Times New Roman" w:cs="Times New Roman"/>
          <w:sz w:val="24"/>
          <w:szCs w:val="24"/>
          <w:lang w:val="en-US"/>
        </w:rPr>
        <w:t>postoperative opioid regimens</w:t>
      </w:r>
      <w:r w:rsidR="3E457C64" w:rsidRPr="1193C325">
        <w:rPr>
          <w:rFonts w:ascii="Times New Roman" w:eastAsia="Times New Roman" w:hAnsi="Times New Roman" w:cs="Times New Roman"/>
          <w:sz w:val="24"/>
          <w:szCs w:val="24"/>
          <w:lang w:val="en-US"/>
        </w:rPr>
        <w:t>.</w:t>
      </w:r>
      <w:r w:rsidRPr="1193C325">
        <w:rPr>
          <w:rFonts w:ascii="Times New Roman" w:eastAsia="Times New Roman" w:hAnsi="Times New Roman" w:cs="Times New Roman"/>
          <w:sz w:val="24"/>
          <w:szCs w:val="24"/>
          <w:lang w:val="en-US"/>
        </w:rPr>
        <w:t xml:space="preserve"> Studies examining post-discharge pain control, opioid consumption, and adverse events in outpatient populations are necessary to inform safe and effective implementation in these settings.</w:t>
      </w:r>
    </w:p>
    <w:p w14:paraId="0000003E" w14:textId="17D7BB91" w:rsidR="00C817CC" w:rsidRPr="00E16670" w:rsidRDefault="564D6463" w:rsidP="38688B0C">
      <w:pPr>
        <w:spacing w:line="480" w:lineRule="auto"/>
        <w:contextualSpacing/>
        <w:jc w:val="center"/>
        <w:rPr>
          <w:rFonts w:ascii="Times New Roman" w:eastAsia="Times New Roman" w:hAnsi="Times New Roman" w:cs="Times New Roman"/>
          <w:sz w:val="24"/>
          <w:szCs w:val="24"/>
        </w:rPr>
      </w:pPr>
      <w:r w:rsidRPr="619A24EA">
        <w:rPr>
          <w:rFonts w:ascii="Times New Roman" w:eastAsia="Times New Roman" w:hAnsi="Times New Roman" w:cs="Times New Roman"/>
          <w:b/>
          <w:bCs/>
          <w:sz w:val="24"/>
          <w:szCs w:val="24"/>
        </w:rPr>
        <w:t>D</w:t>
      </w:r>
      <w:r w:rsidR="28D95F6C" w:rsidRPr="619A24EA">
        <w:rPr>
          <w:rFonts w:ascii="Times New Roman" w:eastAsia="Times New Roman" w:hAnsi="Times New Roman" w:cs="Times New Roman"/>
          <w:b/>
          <w:bCs/>
          <w:sz w:val="24"/>
          <w:szCs w:val="24"/>
        </w:rPr>
        <w:t>issemination</w:t>
      </w:r>
    </w:p>
    <w:p w14:paraId="0EBAF0DB" w14:textId="77777777" w:rsidR="005B4AD4" w:rsidRDefault="005B4AD4" w:rsidP="005B4AD4">
      <w:pPr>
        <w:spacing w:line="480" w:lineRule="auto"/>
        <w:ind w:firstLine="720"/>
        <w:contextualSpacing/>
        <w:rPr>
          <w:rFonts w:ascii="Times New Roman" w:eastAsia="Times New Roman" w:hAnsi="Times New Roman" w:cs="Times New Roman"/>
          <w:sz w:val="24"/>
          <w:szCs w:val="24"/>
          <w:lang w:val="en-US"/>
        </w:rPr>
      </w:pPr>
      <w:r w:rsidRPr="005B4AD4">
        <w:rPr>
          <w:rFonts w:ascii="Times New Roman" w:eastAsia="Times New Roman" w:hAnsi="Times New Roman" w:cs="Times New Roman"/>
          <w:sz w:val="24"/>
          <w:szCs w:val="24"/>
          <w:lang w:val="en-US"/>
        </w:rPr>
        <w:t xml:space="preserve">Across the literature, a major barrier to the incorporation of methadone in anesthesia practice is limited provider familiarity and persistent misconceptions regarding its safety and </w:t>
      </w:r>
      <w:r w:rsidRPr="005B4AD4">
        <w:rPr>
          <w:rFonts w:ascii="Times New Roman" w:eastAsia="Times New Roman" w:hAnsi="Times New Roman" w:cs="Times New Roman"/>
          <w:sz w:val="24"/>
          <w:szCs w:val="24"/>
          <w:lang w:val="en-US"/>
        </w:rPr>
        <w:lastRenderedPageBreak/>
        <w:t>clinical application (Mercadante, 2023). Dissemination of this integrative review was undertaken to address this gap and support continuing education and evidence-based perioperative practice.</w:t>
      </w:r>
    </w:p>
    <w:p w14:paraId="24B2CCA8" w14:textId="36134B87" w:rsidR="005B4AD4" w:rsidRDefault="66BB92E0" w:rsidP="0320F0AF">
      <w:pPr>
        <w:spacing w:line="480" w:lineRule="auto"/>
        <w:ind w:firstLine="720"/>
        <w:contextualSpacing/>
        <w:rPr>
          <w:rFonts w:ascii="Times New Roman" w:eastAsia="Times New Roman" w:hAnsi="Times New Roman" w:cs="Times New Roman"/>
          <w:sz w:val="24"/>
          <w:szCs w:val="24"/>
          <w:lang w:val="en-US"/>
        </w:rPr>
      </w:pPr>
      <w:r w:rsidRPr="0320F0AF">
        <w:rPr>
          <w:rFonts w:ascii="Times New Roman" w:eastAsia="Times New Roman" w:hAnsi="Times New Roman" w:cs="Times New Roman"/>
          <w:sz w:val="24"/>
          <w:szCs w:val="24"/>
          <w:lang w:val="en-US"/>
        </w:rPr>
        <w:t xml:space="preserve">A PowerPoint presentation highlighting the findings of this review was developed and presented by the authors to local anesthesia provider groups. The presentation is included in </w:t>
      </w:r>
      <w:r w:rsidR="3E505E14" w:rsidRPr="0320F0AF">
        <w:rPr>
          <w:rFonts w:ascii="Times New Roman" w:eastAsia="Times New Roman" w:hAnsi="Times New Roman" w:cs="Times New Roman"/>
          <w:sz w:val="24"/>
          <w:szCs w:val="24"/>
          <w:lang w:val="en-US"/>
        </w:rPr>
        <w:t>Appendix</w:t>
      </w:r>
      <w:r w:rsidR="44FDEA1D" w:rsidRPr="0320F0AF">
        <w:rPr>
          <w:rFonts w:ascii="Times New Roman" w:eastAsia="Times New Roman" w:hAnsi="Times New Roman" w:cs="Times New Roman"/>
          <w:sz w:val="24"/>
          <w:szCs w:val="24"/>
          <w:lang w:val="en-US"/>
        </w:rPr>
        <w:t xml:space="preserve"> A</w:t>
      </w:r>
      <w:r w:rsidRPr="0320F0AF">
        <w:rPr>
          <w:rFonts w:ascii="Times New Roman" w:eastAsia="Times New Roman" w:hAnsi="Times New Roman" w:cs="Times New Roman"/>
          <w:sz w:val="24"/>
          <w:szCs w:val="24"/>
          <w:lang w:val="en-US"/>
        </w:rPr>
        <w:t>.</w:t>
      </w:r>
    </w:p>
    <w:p w14:paraId="756C8D94" w14:textId="11613D7D" w:rsidR="005B4AD4" w:rsidRDefault="005B4AD4" w:rsidP="005B4AD4">
      <w:pPr>
        <w:spacing w:line="480" w:lineRule="auto"/>
        <w:ind w:firstLine="720"/>
        <w:contextualSpacing/>
        <w:rPr>
          <w:rFonts w:ascii="Times New Roman" w:eastAsia="Times New Roman" w:hAnsi="Times New Roman" w:cs="Times New Roman"/>
          <w:sz w:val="24"/>
          <w:szCs w:val="24"/>
          <w:lang w:val="en-US"/>
        </w:rPr>
      </w:pPr>
      <w:r w:rsidRPr="005B4AD4">
        <w:rPr>
          <w:rFonts w:ascii="Times New Roman" w:eastAsia="Times New Roman" w:hAnsi="Times New Roman" w:cs="Times New Roman"/>
          <w:sz w:val="24"/>
          <w:szCs w:val="24"/>
          <w:lang w:val="en-US"/>
        </w:rPr>
        <w:t xml:space="preserve">On April 10, 2026, the authors presented the findings of this review to anesthesia staff at two clinical sites: Northern Light AR Gould Hospital in Presque Isle, Maine (presented by Johanna Bennett) and Maine Coast Hospital in Ellsworth, Maine (presented by Abigail Lee). Across both sites, audiences consisted of physician anesthesiologists and certified registered nurse anesthetists (CRNAs), including one physician anesthesiologist and five CRNAs at Northern Light AR Gould Hospital, and two physician anesthesiologists and six CRNAs at Maine Coast Hospital. Presentations </w:t>
      </w:r>
      <w:r>
        <w:rPr>
          <w:rFonts w:ascii="Times New Roman" w:eastAsia="Times New Roman" w:hAnsi="Times New Roman" w:cs="Times New Roman"/>
          <w:sz w:val="24"/>
          <w:szCs w:val="24"/>
          <w:lang w:val="en-US"/>
        </w:rPr>
        <w:t xml:space="preserve">lasted approximately 15 minutes </w:t>
      </w:r>
      <w:r w:rsidRPr="005B4AD4">
        <w:rPr>
          <w:rFonts w:ascii="Times New Roman" w:eastAsia="Times New Roman" w:hAnsi="Times New Roman" w:cs="Times New Roman"/>
          <w:sz w:val="24"/>
          <w:szCs w:val="24"/>
          <w:lang w:val="en-US"/>
        </w:rPr>
        <w:t>and included time for audience questions and discussion.</w:t>
      </w:r>
    </w:p>
    <w:p w14:paraId="778CCA5F" w14:textId="1FA65E8F" w:rsidR="005B4AD4" w:rsidRDefault="005B4AD4" w:rsidP="005B4AD4">
      <w:pPr>
        <w:spacing w:line="480" w:lineRule="auto"/>
        <w:ind w:firstLine="720"/>
        <w:contextualSpacing/>
        <w:rPr>
          <w:rFonts w:ascii="Times New Roman" w:eastAsia="Times New Roman" w:hAnsi="Times New Roman" w:cs="Times New Roman"/>
          <w:sz w:val="24"/>
          <w:szCs w:val="24"/>
          <w:lang w:val="en-US"/>
        </w:rPr>
      </w:pPr>
      <w:r w:rsidRPr="005B4AD4">
        <w:rPr>
          <w:rFonts w:ascii="Times New Roman" w:eastAsia="Times New Roman" w:hAnsi="Times New Roman" w:cs="Times New Roman"/>
          <w:sz w:val="24"/>
          <w:szCs w:val="24"/>
          <w:lang w:val="en-US"/>
        </w:rPr>
        <w:t xml:space="preserve">Common themes identified across both presentations included concerns regarding the potential impact of methadone on postoperative recovery metrics, particularly PACU and hospital length of stay, as well as hesitancy related to its prolonged duration of action and perceived risk of delayed respiratory depression. </w:t>
      </w:r>
      <w:r w:rsidR="00CA557F" w:rsidRPr="00CA557F">
        <w:rPr>
          <w:rFonts w:ascii="Times New Roman" w:eastAsia="Times New Roman" w:hAnsi="Times New Roman" w:cs="Times New Roman"/>
          <w:sz w:val="24"/>
          <w:szCs w:val="24"/>
          <w:lang w:val="en-US"/>
        </w:rPr>
        <w:t>These concerns were notable</w:t>
      </w:r>
      <w:r w:rsidR="00CA557F">
        <w:rPr>
          <w:rFonts w:ascii="Times New Roman" w:eastAsia="Times New Roman" w:hAnsi="Times New Roman" w:cs="Times New Roman"/>
          <w:sz w:val="24"/>
          <w:szCs w:val="24"/>
          <w:lang w:val="en-US"/>
        </w:rPr>
        <w:t>, given that the current literature demonstrates comparable safety outcomes and no increase in clinically significant adverse events, highlighting a gap between the available evidence and provider perceptions</w:t>
      </w:r>
      <w:r w:rsidR="00CA557F" w:rsidRPr="00CA557F">
        <w:rPr>
          <w:rFonts w:ascii="Times New Roman" w:eastAsia="Times New Roman" w:hAnsi="Times New Roman" w:cs="Times New Roman"/>
          <w:sz w:val="24"/>
          <w:szCs w:val="24"/>
          <w:lang w:val="en-US"/>
        </w:rPr>
        <w:t>. Additional questions focused on appropriate patient selection, dosing strategies, and integration into existing multimodal and ERAS-based protocols, further emphasizing the need for structured implementation guidance and targeted provider education.</w:t>
      </w:r>
    </w:p>
    <w:p w14:paraId="1EC95B17" w14:textId="18143DFC" w:rsidR="005B4AD4" w:rsidRDefault="005B4AD4" w:rsidP="005B4AD4">
      <w:pPr>
        <w:spacing w:line="480" w:lineRule="auto"/>
        <w:ind w:firstLine="720"/>
        <w:contextualSpacing/>
        <w:rPr>
          <w:rFonts w:ascii="Times New Roman" w:eastAsia="Times New Roman" w:hAnsi="Times New Roman" w:cs="Times New Roman"/>
          <w:sz w:val="24"/>
          <w:szCs w:val="24"/>
          <w:lang w:val="en-US"/>
        </w:rPr>
      </w:pPr>
      <w:r w:rsidRPr="005B4AD4">
        <w:rPr>
          <w:rFonts w:ascii="Times New Roman" w:eastAsia="Times New Roman" w:hAnsi="Times New Roman" w:cs="Times New Roman"/>
          <w:sz w:val="24"/>
          <w:szCs w:val="24"/>
          <w:lang w:val="en-US"/>
        </w:rPr>
        <w:lastRenderedPageBreak/>
        <w:t xml:space="preserve">On June 13, 2026, the authors will participate in the doctoral research symposium at the University of New England. Attendees will include student registered nurse anesthetists (SRNAs) and practicing CRNAs. A poster presentation will synthesize the findings of this integrative review and </w:t>
      </w:r>
      <w:r>
        <w:rPr>
          <w:rFonts w:ascii="Times New Roman" w:eastAsia="Times New Roman" w:hAnsi="Times New Roman" w:cs="Times New Roman"/>
          <w:sz w:val="24"/>
          <w:szCs w:val="24"/>
          <w:lang w:val="en-US"/>
        </w:rPr>
        <w:t xml:space="preserve">will </w:t>
      </w:r>
      <w:r w:rsidRPr="005B4AD4">
        <w:rPr>
          <w:rFonts w:ascii="Times New Roman" w:eastAsia="Times New Roman" w:hAnsi="Times New Roman" w:cs="Times New Roman"/>
          <w:sz w:val="24"/>
          <w:szCs w:val="24"/>
          <w:lang w:val="en-US"/>
        </w:rPr>
        <w:t>be presented by the authors.</w:t>
      </w:r>
    </w:p>
    <w:p w14:paraId="017FF9DF" w14:textId="0101027E" w:rsidR="005B4AD4" w:rsidRPr="005B4AD4" w:rsidRDefault="005B4AD4" w:rsidP="005B4AD4">
      <w:pPr>
        <w:spacing w:line="480" w:lineRule="auto"/>
        <w:ind w:firstLine="720"/>
        <w:contextualSpacing/>
        <w:rPr>
          <w:rFonts w:ascii="Times New Roman" w:eastAsia="Times New Roman" w:hAnsi="Times New Roman" w:cs="Times New Roman"/>
          <w:sz w:val="24"/>
          <w:szCs w:val="24"/>
          <w:lang w:val="en-US"/>
        </w:rPr>
      </w:pPr>
      <w:r w:rsidRPr="005B4AD4">
        <w:rPr>
          <w:rFonts w:ascii="Times New Roman" w:eastAsia="Times New Roman" w:hAnsi="Times New Roman" w:cs="Times New Roman"/>
          <w:sz w:val="24"/>
          <w:szCs w:val="24"/>
          <w:lang w:val="en-US"/>
        </w:rPr>
        <w:t xml:space="preserve">To further expand dissemination, the authors will also participate in a professional podcast, </w:t>
      </w:r>
      <w:r w:rsidRPr="00B91A5A">
        <w:rPr>
          <w:rFonts w:ascii="Times New Roman" w:eastAsia="Times New Roman" w:hAnsi="Times New Roman" w:cs="Times New Roman"/>
          <w:i/>
          <w:iCs/>
          <w:sz w:val="24"/>
          <w:szCs w:val="24"/>
          <w:lang w:val="en-US"/>
        </w:rPr>
        <w:t>Anesthesia Guidebook</w:t>
      </w:r>
      <w:r w:rsidRPr="005B4AD4">
        <w:rPr>
          <w:rFonts w:ascii="Times New Roman" w:eastAsia="Times New Roman" w:hAnsi="Times New Roman" w:cs="Times New Roman"/>
          <w:sz w:val="24"/>
          <w:szCs w:val="24"/>
          <w:lang w:val="en-US"/>
        </w:rPr>
        <w:t>, hosted by Jon Lowrance, CRNA. An episode will be recorded in which the authors discuss the clinical implications and findings of this integrative review for a broader anesthesia audience.</w:t>
      </w:r>
    </w:p>
    <w:p w14:paraId="00000040" w14:textId="59FAB1B3" w:rsidR="00C817CC" w:rsidRPr="00E16670" w:rsidRDefault="00A963B7" w:rsidP="38688B0C">
      <w:pPr>
        <w:spacing w:line="480" w:lineRule="auto"/>
        <w:contextualSpacing/>
        <w:jc w:val="center"/>
        <w:rPr>
          <w:rFonts w:ascii="Times New Roman" w:eastAsia="Times New Roman" w:hAnsi="Times New Roman" w:cs="Times New Roman"/>
          <w:b/>
          <w:bCs/>
          <w:sz w:val="24"/>
          <w:szCs w:val="24"/>
        </w:rPr>
      </w:pPr>
      <w:r w:rsidRPr="38688B0C">
        <w:rPr>
          <w:rFonts w:ascii="Times New Roman" w:eastAsia="Times New Roman" w:hAnsi="Times New Roman" w:cs="Times New Roman"/>
          <w:b/>
          <w:bCs/>
          <w:sz w:val="24"/>
          <w:szCs w:val="24"/>
        </w:rPr>
        <w:t>Conclusion</w:t>
      </w:r>
    </w:p>
    <w:p w14:paraId="13C62BEA" w14:textId="5518C134" w:rsidR="005C730A" w:rsidRDefault="005C730A" w:rsidP="38688B0C">
      <w:pPr>
        <w:spacing w:line="480" w:lineRule="auto"/>
        <w:ind w:firstLine="720"/>
        <w:contextualSpacing/>
        <w:rPr>
          <w:rFonts w:ascii="Times New Roman" w:eastAsia="Times New Roman" w:hAnsi="Times New Roman" w:cs="Times New Roman"/>
          <w:sz w:val="24"/>
          <w:szCs w:val="24"/>
          <w:lang w:val="en-US"/>
        </w:rPr>
      </w:pPr>
      <w:r w:rsidRPr="005C730A">
        <w:rPr>
          <w:rFonts w:ascii="Times New Roman" w:eastAsia="Times New Roman" w:hAnsi="Times New Roman" w:cs="Times New Roman"/>
          <w:sz w:val="24"/>
          <w:szCs w:val="24"/>
          <w:lang w:val="en-US"/>
        </w:rPr>
        <w:t>This integrative review synthesized current evidence evaluating the use of intraoperative intravenous methadone in perioperative pain management in adult surgical patients. Across multiple surgical populations, the current literature demonstrated that a single intraoperative dose of methadone provides more consistent and sustained analgesia compared with conventional short-acting opioids. Intraoperative methadone was consistently associated with improved postoperative analgesia and reduced opioid consumption without an increase in clinically significant adverse effects, including</w:t>
      </w:r>
      <w:r>
        <w:rPr>
          <w:rFonts w:ascii="Times New Roman" w:eastAsia="Times New Roman" w:hAnsi="Times New Roman" w:cs="Times New Roman"/>
          <w:sz w:val="24"/>
          <w:szCs w:val="24"/>
          <w:lang w:val="en-US"/>
        </w:rPr>
        <w:t xml:space="preserve"> PONV,</w:t>
      </w:r>
      <w:r w:rsidRPr="005C730A">
        <w:rPr>
          <w:rFonts w:ascii="Times New Roman" w:eastAsia="Times New Roman" w:hAnsi="Times New Roman" w:cs="Times New Roman"/>
          <w:sz w:val="24"/>
          <w:szCs w:val="24"/>
          <w:lang w:val="en-US"/>
        </w:rPr>
        <w:t xml:space="preserve"> respiratory depression</w:t>
      </w:r>
      <w:r w:rsidR="00E57A1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or p</w:t>
      </w:r>
      <w:r w:rsidRPr="005C730A">
        <w:rPr>
          <w:rFonts w:ascii="Times New Roman" w:eastAsia="Times New Roman" w:hAnsi="Times New Roman" w:cs="Times New Roman"/>
          <w:sz w:val="24"/>
          <w:szCs w:val="24"/>
          <w:lang w:val="en-US"/>
        </w:rPr>
        <w:t>rolonged PACU stay</w:t>
      </w:r>
      <w:r>
        <w:rPr>
          <w:rFonts w:ascii="Times New Roman" w:eastAsia="Times New Roman" w:hAnsi="Times New Roman" w:cs="Times New Roman"/>
          <w:sz w:val="24"/>
          <w:szCs w:val="24"/>
          <w:lang w:val="en-US"/>
        </w:rPr>
        <w:t>.</w:t>
      </w:r>
    </w:p>
    <w:p w14:paraId="685631D2" w14:textId="77777777" w:rsidR="00E57A19" w:rsidRDefault="005C730A" w:rsidP="005C730A">
      <w:pPr>
        <w:spacing w:line="480" w:lineRule="auto"/>
        <w:ind w:firstLine="720"/>
        <w:contextualSpacing/>
        <w:rPr>
          <w:rFonts w:ascii="Times New Roman" w:eastAsia="Times New Roman" w:hAnsi="Times New Roman" w:cs="Times New Roman"/>
          <w:sz w:val="24"/>
          <w:szCs w:val="24"/>
          <w:lang w:val="en-US"/>
        </w:rPr>
      </w:pPr>
      <w:r w:rsidRPr="005C730A">
        <w:rPr>
          <w:rFonts w:ascii="Times New Roman" w:eastAsia="Times New Roman" w:hAnsi="Times New Roman" w:cs="Times New Roman"/>
          <w:sz w:val="24"/>
          <w:szCs w:val="24"/>
          <w:lang w:val="en-US"/>
        </w:rPr>
        <w:t xml:space="preserve">Methadone’s multimodal pharmacologic profile contributes to its clinical effectiveness in the perioperative setting, supporting sustained analgesia and attenuation of central sensitization. These properties, combined with </w:t>
      </w:r>
      <w:r w:rsidR="00E57A19">
        <w:rPr>
          <w:rFonts w:ascii="Times New Roman" w:eastAsia="Times New Roman" w:hAnsi="Times New Roman" w:cs="Times New Roman"/>
          <w:sz w:val="24"/>
          <w:szCs w:val="24"/>
          <w:lang w:val="en-US"/>
        </w:rPr>
        <w:t>its</w:t>
      </w:r>
      <w:r w:rsidRPr="005C730A">
        <w:rPr>
          <w:rFonts w:ascii="Times New Roman" w:eastAsia="Times New Roman" w:hAnsi="Times New Roman" w:cs="Times New Roman"/>
          <w:sz w:val="24"/>
          <w:szCs w:val="24"/>
          <w:lang w:val="en-US"/>
        </w:rPr>
        <w:t xml:space="preserve"> prolonged duration of action, </w:t>
      </w:r>
      <w:r w:rsidR="00E57A19">
        <w:rPr>
          <w:rFonts w:ascii="Times New Roman" w:eastAsia="Times New Roman" w:hAnsi="Times New Roman" w:cs="Times New Roman"/>
          <w:sz w:val="24"/>
          <w:szCs w:val="24"/>
          <w:lang w:val="en-US"/>
        </w:rPr>
        <w:t>allow</w:t>
      </w:r>
      <w:r w:rsidRPr="005C730A">
        <w:rPr>
          <w:rFonts w:ascii="Times New Roman" w:eastAsia="Times New Roman" w:hAnsi="Times New Roman" w:cs="Times New Roman"/>
          <w:sz w:val="24"/>
          <w:szCs w:val="24"/>
          <w:lang w:val="en-US"/>
        </w:rPr>
        <w:t xml:space="preserve"> for </w:t>
      </w:r>
      <w:r w:rsidR="00E57A19">
        <w:rPr>
          <w:rFonts w:ascii="Times New Roman" w:eastAsia="Times New Roman" w:hAnsi="Times New Roman" w:cs="Times New Roman"/>
          <w:sz w:val="24"/>
          <w:szCs w:val="24"/>
          <w:lang w:val="en-US"/>
        </w:rPr>
        <w:t xml:space="preserve">a </w:t>
      </w:r>
      <w:r w:rsidRPr="005C730A">
        <w:rPr>
          <w:rFonts w:ascii="Times New Roman" w:eastAsia="Times New Roman" w:hAnsi="Times New Roman" w:cs="Times New Roman"/>
          <w:sz w:val="24"/>
          <w:szCs w:val="24"/>
          <w:lang w:val="en-US"/>
        </w:rPr>
        <w:t>more stable perioperative analgesic coverage during the immediate postoperative period. Evidence synthesized in this review suggests that intraoperative methadone functions as an effective component of multimodal analgesia and may demonstrate enhanced benefit when incorporated alongside other adjunctive therapies.</w:t>
      </w:r>
      <w:r>
        <w:rPr>
          <w:rFonts w:ascii="Times New Roman" w:eastAsia="Times New Roman" w:hAnsi="Times New Roman" w:cs="Times New Roman"/>
          <w:sz w:val="24"/>
          <w:szCs w:val="24"/>
          <w:lang w:val="en-US"/>
        </w:rPr>
        <w:t xml:space="preserve"> </w:t>
      </w:r>
      <w:r w:rsidRPr="005C730A">
        <w:rPr>
          <w:rFonts w:ascii="Times New Roman" w:eastAsia="Times New Roman" w:hAnsi="Times New Roman" w:cs="Times New Roman"/>
          <w:sz w:val="24"/>
          <w:szCs w:val="24"/>
          <w:lang w:val="en-US"/>
        </w:rPr>
        <w:t xml:space="preserve">The findings support methadone as a safe and effective </w:t>
      </w:r>
      <w:r w:rsidRPr="005C730A">
        <w:rPr>
          <w:rFonts w:ascii="Times New Roman" w:eastAsia="Times New Roman" w:hAnsi="Times New Roman" w:cs="Times New Roman"/>
          <w:sz w:val="24"/>
          <w:szCs w:val="24"/>
          <w:lang w:val="en-US"/>
        </w:rPr>
        <w:lastRenderedPageBreak/>
        <w:t>component of multimodal and ERAS-based perioperative care. Successful implementation requires appropriate patient selection, standardized dosing strategies, and vigilant perioperative monitoring.</w:t>
      </w:r>
      <w:r w:rsidR="00E57A19">
        <w:rPr>
          <w:rFonts w:ascii="Times New Roman" w:eastAsia="Times New Roman" w:hAnsi="Times New Roman" w:cs="Times New Roman"/>
          <w:sz w:val="24"/>
          <w:szCs w:val="24"/>
          <w:lang w:val="en-US"/>
        </w:rPr>
        <w:t xml:space="preserve"> </w:t>
      </w:r>
    </w:p>
    <w:p w14:paraId="00000043" w14:textId="155A3A36" w:rsidR="00C817CC" w:rsidRPr="00E16670" w:rsidRDefault="3A004B19" w:rsidP="005C730A">
      <w:pPr>
        <w:spacing w:line="480" w:lineRule="auto"/>
        <w:ind w:firstLine="720"/>
        <w:contextualSpacing/>
        <w:rPr>
          <w:rFonts w:ascii="Times New Roman" w:eastAsia="Times New Roman" w:hAnsi="Times New Roman" w:cs="Times New Roman"/>
          <w:sz w:val="24"/>
          <w:szCs w:val="24"/>
          <w:lang w:val="en-US"/>
        </w:rPr>
      </w:pPr>
      <w:r w:rsidRPr="38688B0C">
        <w:rPr>
          <w:rFonts w:ascii="Times New Roman" w:eastAsia="Times New Roman" w:hAnsi="Times New Roman" w:cs="Times New Roman"/>
          <w:sz w:val="24"/>
          <w:szCs w:val="24"/>
          <w:lang w:val="en-US"/>
        </w:rPr>
        <w:t xml:space="preserve">Although current evidence supports the safety and efficacy of intraoperative methadone for postoperative analgesia, </w:t>
      </w:r>
      <w:r w:rsidR="00E57A19" w:rsidRPr="00E57A19">
        <w:rPr>
          <w:rFonts w:ascii="Times New Roman" w:eastAsia="Times New Roman" w:hAnsi="Times New Roman" w:cs="Times New Roman"/>
          <w:sz w:val="24"/>
          <w:szCs w:val="24"/>
          <w:lang w:val="en-US"/>
        </w:rPr>
        <w:t>important gaps remain in the literature, particularly regarding optimal patient selection, use in high-risk populations, standardized dosing strategies, and application across diverse surgical settings.</w:t>
      </w:r>
      <w:r w:rsidR="00E57A19">
        <w:rPr>
          <w:rFonts w:ascii="Times New Roman" w:eastAsia="Times New Roman" w:hAnsi="Times New Roman" w:cs="Times New Roman"/>
          <w:sz w:val="24"/>
          <w:szCs w:val="24"/>
          <w:lang w:val="en-US"/>
        </w:rPr>
        <w:t xml:space="preserve"> </w:t>
      </w:r>
      <w:r w:rsidRPr="38688B0C">
        <w:rPr>
          <w:rFonts w:ascii="Times New Roman" w:eastAsia="Times New Roman" w:hAnsi="Times New Roman" w:cs="Times New Roman"/>
          <w:sz w:val="24"/>
          <w:szCs w:val="24"/>
          <w:lang w:val="en-US"/>
        </w:rPr>
        <w:t>Additional large-scale studies are needed to refine dosing strategies, evaluate long-term outcomes, and further inform evidence-based implementation within perioperative pain management protocols</w:t>
      </w:r>
      <w:r w:rsidR="00E57A19">
        <w:rPr>
          <w:rFonts w:ascii="Times New Roman" w:eastAsia="Times New Roman" w:hAnsi="Times New Roman" w:cs="Times New Roman"/>
          <w:sz w:val="24"/>
          <w:szCs w:val="24"/>
          <w:lang w:val="en-US"/>
        </w:rPr>
        <w:t>.</w:t>
      </w:r>
      <w:r w:rsidRPr="38688B0C">
        <w:rPr>
          <w:rFonts w:ascii="Times New Roman" w:eastAsia="Times New Roman" w:hAnsi="Times New Roman" w:cs="Times New Roman"/>
          <w:sz w:val="24"/>
          <w:szCs w:val="24"/>
          <w:lang w:val="en-US"/>
        </w:rPr>
        <w:t xml:space="preserve"> The current literature highlights the importance of standardized dosing and monitoring practices to optimize postoperative pain control and reduce opioid exposure. </w:t>
      </w:r>
      <w:r w:rsidR="00E57A19" w:rsidRPr="00E57A19">
        <w:rPr>
          <w:rFonts w:ascii="Times New Roman" w:eastAsia="Times New Roman" w:hAnsi="Times New Roman" w:cs="Times New Roman"/>
          <w:sz w:val="24"/>
          <w:szCs w:val="24"/>
          <w:lang w:val="en-US"/>
        </w:rPr>
        <w:t>Continued investigation will further define methadone’s role in perioperative analgesia and support its integration into evidence-based anesthesia practice</w:t>
      </w:r>
      <w:r w:rsidR="00E57A19">
        <w:rPr>
          <w:rFonts w:ascii="Times New Roman" w:eastAsia="Times New Roman" w:hAnsi="Times New Roman" w:cs="Times New Roman"/>
          <w:sz w:val="24"/>
          <w:szCs w:val="24"/>
          <w:lang w:val="en-US"/>
        </w:rPr>
        <w:t>.</w:t>
      </w:r>
    </w:p>
    <w:p w14:paraId="30028B78" w14:textId="77777777" w:rsidR="0012624C" w:rsidRPr="0012624C" w:rsidRDefault="00D30E9E" w:rsidP="0012624C">
      <w:pPr>
        <w:spacing w:line="480" w:lineRule="auto"/>
        <w:ind w:left="720" w:hanging="720"/>
        <w:contextualSpacing/>
        <w:jc w:val="center"/>
        <w:rPr>
          <w:rFonts w:ascii="Times New Roman" w:eastAsia="Times New Roman" w:hAnsi="Times New Roman" w:cs="Times New Roman"/>
          <w:color w:val="000000"/>
          <w:kern w:val="2"/>
          <w:sz w:val="24"/>
          <w:szCs w:val="24"/>
          <w:lang w:val="en-US"/>
          <w14:ligatures w14:val="standardContextual"/>
        </w:rPr>
      </w:pPr>
      <w:r w:rsidRPr="38688B0C">
        <w:rPr>
          <w:rFonts w:ascii="Times New Roman" w:eastAsia="Times New Roman" w:hAnsi="Times New Roman" w:cs="Times New Roman"/>
          <w:b/>
          <w:bCs/>
          <w:sz w:val="24"/>
          <w:szCs w:val="24"/>
        </w:rPr>
        <w:br w:type="page"/>
      </w:r>
      <w:r w:rsidR="0012624C" w:rsidRPr="0012624C">
        <w:rPr>
          <w:rFonts w:ascii="Times New Roman" w:eastAsia="Times New Roman" w:hAnsi="Times New Roman" w:cs="Times New Roman"/>
          <w:b/>
          <w:bCs/>
          <w:color w:val="000000"/>
          <w:kern w:val="2"/>
          <w:sz w:val="24"/>
          <w:szCs w:val="24"/>
          <w14:ligatures w14:val="standardContextual"/>
        </w:rPr>
        <w:lastRenderedPageBreak/>
        <w:t>References</w:t>
      </w:r>
    </w:p>
    <w:p w14:paraId="6CAD4FA3"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Arriaza, N., </w:t>
      </w:r>
      <w:proofErr w:type="spellStart"/>
      <w:r w:rsidRPr="0012624C">
        <w:rPr>
          <w:rFonts w:ascii="Times New Roman" w:eastAsia="Times New Roman" w:hAnsi="Times New Roman" w:cs="Times New Roman"/>
          <w:color w:val="000000"/>
          <w:kern w:val="2"/>
          <w:sz w:val="24"/>
          <w:szCs w:val="24"/>
          <w:lang w:val="en-US"/>
          <w14:ligatures w14:val="standardContextual"/>
        </w:rPr>
        <w:t>Papuzinski</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C., </w:t>
      </w:r>
      <w:proofErr w:type="spellStart"/>
      <w:r w:rsidRPr="0012624C">
        <w:rPr>
          <w:rFonts w:ascii="Times New Roman" w:eastAsia="Times New Roman" w:hAnsi="Times New Roman" w:cs="Times New Roman"/>
          <w:color w:val="000000"/>
          <w:kern w:val="2"/>
          <w:sz w:val="24"/>
          <w:szCs w:val="24"/>
          <w:lang w:val="en-US"/>
          <w14:ligatures w14:val="standardContextual"/>
        </w:rPr>
        <w:t>Kirmayr</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M., Matta, M., Aranda, F., Stojanova, J., &amp; Madrid, E. (2021). Efficacy of methadone for the management of postoperative pain in laparoscopic cholecystectomy: A randomized clinical trial. </w:t>
      </w:r>
      <w:proofErr w:type="spellStart"/>
      <w:r w:rsidRPr="0012624C">
        <w:rPr>
          <w:rFonts w:ascii="Times New Roman" w:eastAsia="Times New Roman" w:hAnsi="Times New Roman" w:cs="Times New Roman"/>
          <w:i/>
          <w:iCs/>
          <w:color w:val="000000"/>
          <w:kern w:val="2"/>
          <w:sz w:val="24"/>
          <w:szCs w:val="24"/>
          <w:lang w:val="en-US"/>
          <w14:ligatures w14:val="standardContextual"/>
        </w:rPr>
        <w:t>Medwave</w:t>
      </w:r>
      <w:proofErr w:type="spellEnd"/>
      <w:r w:rsidRPr="0012624C">
        <w:rPr>
          <w:rFonts w:ascii="Times New Roman" w:eastAsia="Times New Roman" w:hAnsi="Times New Roman" w:cs="Times New Roman"/>
          <w:i/>
          <w:iCs/>
          <w:color w:val="000000"/>
          <w:kern w:val="2"/>
          <w:sz w:val="24"/>
          <w:szCs w:val="24"/>
          <w:lang w:val="en-US"/>
          <w14:ligatures w14:val="standardContextual"/>
        </w:rPr>
        <w:t>, 21</w:t>
      </w:r>
      <w:r w:rsidRPr="0012624C">
        <w:rPr>
          <w:rFonts w:ascii="Times New Roman" w:eastAsia="Times New Roman" w:hAnsi="Times New Roman" w:cs="Times New Roman"/>
          <w:color w:val="000000"/>
          <w:kern w:val="2"/>
          <w:sz w:val="24"/>
          <w:szCs w:val="24"/>
          <w:lang w:val="en-US"/>
          <w14:ligatures w14:val="standardContextual"/>
        </w:rPr>
        <w:t xml:space="preserve">(2), e8134. </w:t>
      </w:r>
      <w:hyperlink r:id="rId12" w:history="1">
        <w:r w:rsidRPr="0012624C">
          <w:rPr>
            <w:rFonts w:ascii="Times New Roman" w:eastAsia="Times New Roman" w:hAnsi="Times New Roman" w:cs="Times New Roman"/>
            <w:color w:val="0563C1"/>
            <w:kern w:val="2"/>
            <w:sz w:val="24"/>
            <w:szCs w:val="24"/>
            <w:u w:val="single"/>
            <w:lang w:val="en-US"/>
            <w14:ligatures w14:val="standardContextual"/>
          </w:rPr>
          <w:t>https://doi.org/10.5867/medwave.2021.02.8134</w:t>
        </w:r>
      </w:hyperlink>
    </w:p>
    <w:p w14:paraId="4FD50046" w14:textId="77777777" w:rsidR="0012624C" w:rsidRPr="0012624C" w:rsidRDefault="0012624C" w:rsidP="0012624C">
      <w:pPr>
        <w:spacing w:line="480" w:lineRule="auto"/>
        <w:ind w:left="720" w:hanging="720"/>
        <w:contextualSpacing/>
        <w:rPr>
          <w:rFonts w:ascii="Times New Roman" w:eastAsia="Times New Roman" w:hAnsi="Times New Roman" w:cs="Times New Roman"/>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Bernstein, J. L., Wang, M. L., Huang, H., Chen, Y., Cohen, L. E., &amp; Otterburn, D. M. (2025). Intraoperative methadone: A new enhanced recovery after surgery pathway for deep inferior epigastric perforator flap breast reconstruction. </w:t>
      </w:r>
      <w:r w:rsidRPr="0012624C">
        <w:rPr>
          <w:rFonts w:ascii="Times New Roman" w:eastAsia="Times New Roman" w:hAnsi="Times New Roman" w:cs="Times New Roman"/>
          <w:i/>
          <w:iCs/>
          <w:color w:val="000000"/>
          <w:kern w:val="2"/>
          <w:sz w:val="24"/>
          <w:szCs w:val="24"/>
          <w14:ligatures w14:val="standardContextual"/>
        </w:rPr>
        <w:t>Annals of Plastic Surgery, 94</w:t>
      </w:r>
      <w:r w:rsidRPr="0012624C">
        <w:rPr>
          <w:rFonts w:ascii="Times New Roman" w:eastAsia="Times New Roman" w:hAnsi="Times New Roman" w:cs="Times New Roman"/>
          <w:color w:val="000000"/>
          <w:kern w:val="2"/>
          <w:sz w:val="24"/>
          <w:szCs w:val="24"/>
          <w14:ligatures w14:val="standardContextual"/>
        </w:rPr>
        <w:t xml:space="preserve">(Suppl. 2), S113–S117. </w:t>
      </w:r>
      <w:hyperlink r:id="rId13" w:history="1">
        <w:r w:rsidRPr="0012624C">
          <w:rPr>
            <w:rFonts w:ascii="Times New Roman" w:eastAsia="Times New Roman" w:hAnsi="Times New Roman" w:cs="Times New Roman"/>
            <w:color w:val="0563C1"/>
            <w:kern w:val="2"/>
            <w:sz w:val="24"/>
            <w:szCs w:val="24"/>
            <w:u w:val="single"/>
            <w:lang w:val="en-US"/>
            <w14:ligatures w14:val="standardContextual"/>
          </w:rPr>
          <w:t>https://doi.org/10.1097/SAP.0000000000003534</w:t>
        </w:r>
      </w:hyperlink>
    </w:p>
    <w:p w14:paraId="3978522D"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Brown, P., Ryder, A., Robinson, C., Valenti, K., Phung, K., &amp; </w:t>
      </w:r>
      <w:proofErr w:type="spellStart"/>
      <w:r w:rsidRPr="0012624C">
        <w:rPr>
          <w:rFonts w:ascii="Times New Roman" w:eastAsia="Times New Roman" w:hAnsi="Times New Roman" w:cs="Times New Roman"/>
          <w:color w:val="000000"/>
          <w:kern w:val="2"/>
          <w:sz w:val="24"/>
          <w:szCs w:val="24"/>
          <w:lang w:val="en-US"/>
          <w14:ligatures w14:val="standardContextual"/>
        </w:rPr>
        <w:t>Hasoon</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J. (2025). Methadone for chronic pain: A review of pharmacology, efficacy, and safety concerns. </w:t>
      </w:r>
      <w:r w:rsidRPr="0012624C">
        <w:rPr>
          <w:rFonts w:ascii="Times New Roman" w:eastAsia="Times New Roman" w:hAnsi="Times New Roman" w:cs="Times New Roman"/>
          <w:i/>
          <w:iCs/>
          <w:color w:val="000000"/>
          <w:kern w:val="2"/>
          <w:sz w:val="24"/>
          <w:szCs w:val="24"/>
          <w:lang w:val="en-US"/>
          <w14:ligatures w14:val="standardContextual"/>
        </w:rPr>
        <w:t>Health</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i/>
          <w:iCs/>
          <w:color w:val="000000"/>
          <w:kern w:val="2"/>
          <w:sz w:val="24"/>
          <w:szCs w:val="24"/>
          <w:lang w:val="en-US"/>
          <w14:ligatures w14:val="standardContextual"/>
        </w:rPr>
        <w:t xml:space="preserve">Psychology Research, 13, </w:t>
      </w:r>
      <w:r w:rsidRPr="0012624C">
        <w:rPr>
          <w:rFonts w:ascii="Times New Roman" w:eastAsia="Times New Roman" w:hAnsi="Times New Roman" w:cs="Times New Roman"/>
          <w:color w:val="000000"/>
          <w:kern w:val="2"/>
          <w:sz w:val="24"/>
          <w:szCs w:val="24"/>
          <w:lang w:val="en-US"/>
          <w14:ligatures w14:val="standardContextual"/>
        </w:rPr>
        <w:t>e129552.</w:t>
      </w:r>
      <w:hyperlink r:id="rId14">
        <w:r w:rsidRPr="0012624C">
          <w:rPr>
            <w:rFonts w:ascii="Times New Roman" w:eastAsia="Times New Roman" w:hAnsi="Times New Roman" w:cs="Times New Roman"/>
            <w:color w:val="000000"/>
            <w:kern w:val="2"/>
            <w:sz w:val="24"/>
            <w:szCs w:val="24"/>
            <w:u w:val="single"/>
            <w:lang w:val="en-US"/>
            <w14:ligatures w14:val="standardContextual"/>
          </w:rPr>
          <w:t xml:space="preserve"> </w:t>
        </w:r>
      </w:hyperlink>
      <w:hyperlink r:id="rId15">
        <w:r w:rsidRPr="0012624C">
          <w:rPr>
            <w:rFonts w:ascii="Times New Roman" w:eastAsia="Times New Roman" w:hAnsi="Times New Roman" w:cs="Times New Roman"/>
            <w:color w:val="1155CC"/>
            <w:kern w:val="2"/>
            <w:sz w:val="24"/>
            <w:szCs w:val="24"/>
            <w:u w:val="single"/>
            <w:lang w:val="en-US"/>
            <w14:ligatures w14:val="standardContextual"/>
          </w:rPr>
          <w:t>https://doi.org/10.52965/001c.129552</w:t>
        </w:r>
      </w:hyperlink>
    </w:p>
    <w:p w14:paraId="57F54C88"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14:ligatures w14:val="standardContextual"/>
        </w:rPr>
        <w:t>Cata, J. P., Zaidi, Y., Guerra-Londono, J. J., Kharasch, E. D., Piotrowski, M., Kee, S., Cortes</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14:ligatures w14:val="standardContextual"/>
        </w:rPr>
        <w:t xml:space="preserve">Mejia, N. A., Gloria-Escobar, J. M., Thall, P. F., &amp; Lin, R. (2024). </w:t>
      </w:r>
      <w:proofErr w:type="spellStart"/>
      <w:r w:rsidRPr="0012624C">
        <w:rPr>
          <w:rFonts w:ascii="Times New Roman" w:eastAsia="Times New Roman" w:hAnsi="Times New Roman" w:cs="Times New Roman"/>
          <w:color w:val="000000"/>
          <w:kern w:val="2"/>
          <w:sz w:val="24"/>
          <w:szCs w:val="24"/>
          <w14:ligatures w14:val="standardContextual"/>
        </w:rPr>
        <w:t>Intraoperativ</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e </w:t>
      </w:r>
      <w:r w:rsidRPr="0012624C">
        <w:rPr>
          <w:rFonts w:ascii="Times New Roman" w:eastAsia="Times New Roman" w:hAnsi="Times New Roman" w:cs="Times New Roman"/>
          <w:color w:val="000000"/>
          <w:kern w:val="2"/>
          <w:sz w:val="24"/>
          <w:szCs w:val="24"/>
          <w14:ligatures w14:val="standardContextual"/>
        </w:rPr>
        <w:t>methadone administration for total mastectomy: A single-center retrospective study.</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i/>
          <w:iCs/>
          <w:color w:val="000000"/>
          <w:kern w:val="2"/>
          <w:sz w:val="24"/>
          <w:szCs w:val="24"/>
          <w14:ligatures w14:val="standardContextual"/>
        </w:rPr>
        <w:t>Journal of Clinical Anesthesia</w:t>
      </w:r>
      <w:r w:rsidRPr="0012624C">
        <w:rPr>
          <w:rFonts w:ascii="Times New Roman" w:eastAsia="Times New Roman" w:hAnsi="Times New Roman" w:cs="Times New Roman"/>
          <w:color w:val="000000"/>
          <w:kern w:val="2"/>
          <w:sz w:val="24"/>
          <w:szCs w:val="24"/>
          <w14:ligatures w14:val="standardContextual"/>
        </w:rPr>
        <w:t xml:space="preserve">, </w:t>
      </w:r>
      <w:r w:rsidRPr="0012624C">
        <w:rPr>
          <w:rFonts w:ascii="Times New Roman" w:eastAsia="Times New Roman" w:hAnsi="Times New Roman" w:cs="Times New Roman"/>
          <w:i/>
          <w:iCs/>
          <w:color w:val="000000"/>
          <w:kern w:val="2"/>
          <w:sz w:val="24"/>
          <w:szCs w:val="24"/>
          <w14:ligatures w14:val="standardContextual"/>
        </w:rPr>
        <w:t>98</w:t>
      </w:r>
      <w:r w:rsidRPr="0012624C">
        <w:rPr>
          <w:rFonts w:ascii="Times New Roman" w:eastAsia="Times New Roman" w:hAnsi="Times New Roman" w:cs="Times New Roman"/>
          <w:color w:val="000000"/>
          <w:kern w:val="2"/>
          <w:sz w:val="24"/>
          <w:szCs w:val="24"/>
          <w14:ligatures w14:val="standardContextual"/>
        </w:rPr>
        <w:t>, 111572.</w:t>
      </w:r>
      <w:r w:rsidRPr="0012624C">
        <w:rPr>
          <w:rFonts w:ascii="Times New Roman" w:eastAsia="Times New Roman" w:hAnsi="Times New Roman" w:cs="Times New Roman"/>
          <w:color w:val="000000"/>
          <w:kern w:val="2"/>
          <w:sz w:val="24"/>
          <w:szCs w:val="24"/>
          <w:lang w:val="en-US"/>
          <w14:ligatures w14:val="standardContextual"/>
        </w:rPr>
        <w:t xml:space="preserve"> </w:t>
      </w:r>
      <w:hyperlink r:id="rId16" w:history="1">
        <w:r w:rsidRPr="0012624C">
          <w:rPr>
            <w:rFonts w:ascii="Times New Roman" w:eastAsia="Times New Roman" w:hAnsi="Times New Roman" w:cs="Times New Roman"/>
            <w:color w:val="0563C1"/>
            <w:kern w:val="2"/>
            <w:sz w:val="24"/>
            <w:szCs w:val="24"/>
            <w:u w:val="single"/>
            <w:lang w:val="en-US"/>
            <w14:ligatures w14:val="standardContextual"/>
          </w:rPr>
          <w:t>https://doi.org/10.1016/j.jclinane.2024.111572</w:t>
        </w:r>
      </w:hyperlink>
    </w:p>
    <w:p w14:paraId="7885E27B"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kern w:val="2"/>
          <w:sz w:val="24"/>
          <w:szCs w:val="24"/>
          <w:lang w:val="en-US"/>
          <w14:ligatures w14:val="standardContextual"/>
        </w:rPr>
        <w:t xml:space="preserve">Cheriyan, T., Gaber, M., Glenn, T., </w:t>
      </w:r>
      <w:proofErr w:type="spellStart"/>
      <w:r w:rsidRPr="0012624C">
        <w:rPr>
          <w:rFonts w:ascii="Times New Roman" w:eastAsia="Times New Roman" w:hAnsi="Times New Roman" w:cs="Times New Roman"/>
          <w:kern w:val="2"/>
          <w:sz w:val="24"/>
          <w:szCs w:val="24"/>
          <w:lang w:val="en-US"/>
          <w14:ligatures w14:val="standardContextual"/>
        </w:rPr>
        <w:t>Latremouille</w:t>
      </w:r>
      <w:proofErr w:type="spellEnd"/>
      <w:r w:rsidRPr="0012624C">
        <w:rPr>
          <w:rFonts w:ascii="Times New Roman" w:eastAsia="Times New Roman" w:hAnsi="Times New Roman" w:cs="Times New Roman"/>
          <w:kern w:val="2"/>
          <w:sz w:val="24"/>
          <w:szCs w:val="24"/>
          <w:lang w:val="en-US"/>
          <w14:ligatures w14:val="standardContextual"/>
        </w:rPr>
        <w:t>, J., Loy, K. L., Cheriyan, J., Dua, A., Singh, P., Kumar, V., &amp; Omran, M. B.</w:t>
      </w:r>
      <w:r w:rsidRPr="0012624C">
        <w:rPr>
          <w:rFonts w:ascii="Times New Roman" w:eastAsia="Times New Roman" w:hAnsi="Times New Roman" w:cs="Times New Roman"/>
          <w:color w:val="000000"/>
          <w:kern w:val="2"/>
          <w:sz w:val="24"/>
          <w:szCs w:val="24"/>
          <w:lang w:val="en-US"/>
          <w14:ligatures w14:val="standardContextual"/>
        </w:rPr>
        <w:t xml:space="preserve"> (2021). </w:t>
      </w:r>
      <w:r w:rsidRPr="0012624C">
        <w:rPr>
          <w:rFonts w:ascii="Times New Roman" w:eastAsia="Times New Roman" w:hAnsi="Times New Roman" w:cs="Times New Roman"/>
          <w:kern w:val="2"/>
          <w:sz w:val="24"/>
          <w:szCs w:val="24"/>
          <w:lang w:val="en-US"/>
          <w14:ligatures w14:val="standardContextual"/>
        </w:rPr>
        <w:t>Effect of intraoperative methadone vs other opioids on postoperative outcomes: A meta-analysis of randomized controlled studies.</w:t>
      </w:r>
      <w:r w:rsidRPr="0012624C">
        <w:rPr>
          <w:rFonts w:ascii="Times New Roman" w:eastAsia="Times New Roman" w:hAnsi="Times New Roman" w:cs="Times New Roman"/>
          <w:i/>
          <w:iCs/>
          <w:color w:val="000000"/>
          <w:kern w:val="2"/>
          <w:sz w:val="24"/>
          <w:szCs w:val="24"/>
          <w:lang w:val="en-US"/>
          <w14:ligatures w14:val="standardContextual"/>
        </w:rPr>
        <w:t xml:space="preserve"> The Journal of the International Association for the Study of Pain, 163</w:t>
      </w:r>
      <w:r w:rsidRPr="0012624C">
        <w:rPr>
          <w:rFonts w:ascii="Times New Roman" w:eastAsia="Times New Roman" w:hAnsi="Times New Roman" w:cs="Times New Roman"/>
          <w:color w:val="000000"/>
          <w:kern w:val="2"/>
          <w:sz w:val="24"/>
          <w:szCs w:val="24"/>
          <w:lang w:val="en-US"/>
          <w14:ligatures w14:val="standardContextual"/>
        </w:rPr>
        <w:t xml:space="preserve">(2), e153–e164. </w:t>
      </w:r>
      <w:hyperlink r:id="rId17" w:history="1">
        <w:r w:rsidRPr="0012624C">
          <w:rPr>
            <w:rFonts w:ascii="Times New Roman" w:eastAsia="Times New Roman" w:hAnsi="Times New Roman" w:cs="Times New Roman"/>
            <w:color w:val="0563C1"/>
            <w:kern w:val="2"/>
            <w:sz w:val="24"/>
            <w:szCs w:val="24"/>
            <w:u w:val="single"/>
            <w:lang w:val="en-US"/>
            <w14:ligatures w14:val="standardContextual"/>
          </w:rPr>
          <w:t>https://doi.org/10.1097/j.pain.0000000000002296</w:t>
        </w:r>
      </w:hyperlink>
    </w:p>
    <w:p w14:paraId="11FE10D8" w14:textId="77777777" w:rsidR="00C533B0" w:rsidRDefault="00C533B0" w:rsidP="1CF5E637">
      <w:pPr>
        <w:spacing w:line="480" w:lineRule="auto"/>
        <w:ind w:left="720" w:hanging="720"/>
        <w:contextualSpacing/>
        <w:rPr>
          <w:rFonts w:ascii="Times New Roman" w:eastAsia="Times New Roman" w:hAnsi="Times New Roman" w:cs="Times New Roman"/>
          <w:color w:val="000000"/>
          <w:kern w:val="2"/>
          <w:sz w:val="24"/>
          <w:szCs w:val="24"/>
          <w14:ligatures w14:val="standardContextual"/>
        </w:rPr>
      </w:pPr>
    </w:p>
    <w:p w14:paraId="1479A668" w14:textId="2E910905" w:rsidR="00C533B0" w:rsidRPr="00C533B0" w:rsidRDefault="6C4E6DAD" w:rsidP="0320F0AF">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320F0AF">
        <w:rPr>
          <w:rFonts w:ascii="Times New Roman" w:eastAsia="Times New Roman" w:hAnsi="Times New Roman" w:cs="Times New Roman"/>
          <w:color w:val="000000"/>
          <w:kern w:val="2"/>
          <w:sz w:val="24"/>
          <w:szCs w:val="24"/>
          <w:lang w:val="en-US"/>
          <w14:ligatures w14:val="standardContextual"/>
        </w:rPr>
        <w:lastRenderedPageBreak/>
        <w:t xml:space="preserve">Critical Appraisal Skills Programme. (2023). </w:t>
      </w:r>
      <w:r w:rsidRPr="0320F0AF">
        <w:rPr>
          <w:rFonts w:ascii="Times New Roman" w:eastAsia="Times New Roman" w:hAnsi="Times New Roman" w:cs="Times New Roman"/>
          <w:i/>
          <w:iCs/>
          <w:color w:val="000000"/>
          <w:kern w:val="2"/>
          <w:sz w:val="24"/>
          <w:szCs w:val="24"/>
          <w:lang w:val="en-US"/>
          <w14:ligatures w14:val="standardContextual"/>
        </w:rPr>
        <w:t xml:space="preserve">CASP checklist: CASP cohort study checklist. </w:t>
      </w:r>
      <w:hyperlink r:id="rId18" w:history="1">
        <w:r w:rsidRPr="0320F0AF">
          <w:rPr>
            <w:rStyle w:val="Hyperlink"/>
            <w:rFonts w:ascii="Times New Roman" w:eastAsia="Times New Roman" w:hAnsi="Times New Roman" w:cs="Times New Roman"/>
            <w:kern w:val="2"/>
            <w:sz w:val="24"/>
            <w:szCs w:val="24"/>
            <w:lang w:val="en-US"/>
            <w14:ligatures w14:val="standardContextual"/>
          </w:rPr>
          <w:t>https://casp-uk.net/casp-tools-checklists/cohort-study-checklist/</w:t>
        </w:r>
      </w:hyperlink>
      <w:r w:rsidRPr="0320F0AF">
        <w:rPr>
          <w:rFonts w:ascii="Times New Roman" w:eastAsia="Times New Roman" w:hAnsi="Times New Roman" w:cs="Times New Roman"/>
          <w:i/>
          <w:iCs/>
          <w:color w:val="000000"/>
          <w:kern w:val="2"/>
          <w:sz w:val="24"/>
          <w:szCs w:val="24"/>
          <w:lang w:val="en-US"/>
          <w14:ligatures w14:val="standardContextual"/>
        </w:rPr>
        <w:t xml:space="preserve"> </w:t>
      </w:r>
    </w:p>
    <w:p w14:paraId="19BC2497" w14:textId="4FE4B828" w:rsidR="00C533B0" w:rsidRPr="00C533B0" w:rsidRDefault="6C4E6DAD" w:rsidP="0320F0AF">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320F0AF">
        <w:rPr>
          <w:rFonts w:ascii="Times New Roman" w:eastAsia="Times New Roman" w:hAnsi="Times New Roman" w:cs="Times New Roman"/>
          <w:color w:val="000000"/>
          <w:kern w:val="2"/>
          <w:sz w:val="24"/>
          <w:szCs w:val="24"/>
          <w:lang w:val="en-US"/>
          <w14:ligatures w14:val="standardContextual"/>
        </w:rPr>
        <w:t xml:space="preserve">Critical Appraisal Skills Programme. (2023). </w:t>
      </w:r>
      <w:r w:rsidRPr="0320F0AF">
        <w:rPr>
          <w:rFonts w:ascii="Times New Roman" w:eastAsia="Times New Roman" w:hAnsi="Times New Roman" w:cs="Times New Roman"/>
          <w:i/>
          <w:iCs/>
          <w:color w:val="000000"/>
          <w:kern w:val="2"/>
          <w:sz w:val="24"/>
          <w:szCs w:val="24"/>
          <w:lang w:val="en-US"/>
          <w14:ligatures w14:val="standardContextual"/>
        </w:rPr>
        <w:t xml:space="preserve">CASP checklist: Systematic reviews with meta-analysis of observational studies. </w:t>
      </w:r>
      <w:hyperlink r:id="rId19" w:history="1">
        <w:r w:rsidRPr="0320F0AF">
          <w:rPr>
            <w:rStyle w:val="Hyperlink"/>
            <w:rFonts w:ascii="Times New Roman" w:eastAsia="Times New Roman" w:hAnsi="Times New Roman" w:cs="Times New Roman"/>
            <w:kern w:val="2"/>
            <w:sz w:val="24"/>
            <w:szCs w:val="24"/>
            <w:lang w:val="en-US"/>
            <w14:ligatures w14:val="standardContextual"/>
          </w:rPr>
          <w:t>https://casp-uk.net/casp-tools-checklists/systematic-reviews-meta-analysis-observational-studies/</w:t>
        </w:r>
      </w:hyperlink>
      <w:r w:rsidRPr="0320F0AF">
        <w:rPr>
          <w:rFonts w:ascii="Times New Roman" w:eastAsia="Times New Roman" w:hAnsi="Times New Roman" w:cs="Times New Roman"/>
          <w:i/>
          <w:iCs/>
          <w:color w:val="000000"/>
          <w:kern w:val="2"/>
          <w:sz w:val="24"/>
          <w:szCs w:val="24"/>
          <w:lang w:val="en-US"/>
          <w14:ligatures w14:val="standardContextual"/>
        </w:rPr>
        <w:t xml:space="preserve"> </w:t>
      </w:r>
    </w:p>
    <w:p w14:paraId="4BA22C64" w14:textId="3565B421" w:rsidR="00C533B0" w:rsidRDefault="6C4E6DAD" w:rsidP="0320F0AF">
      <w:pPr>
        <w:spacing w:line="480" w:lineRule="auto"/>
        <w:ind w:left="720" w:hanging="720"/>
        <w:contextualSpacing/>
        <w:rPr>
          <w:rFonts w:ascii="Times New Roman" w:eastAsia="Times New Roman" w:hAnsi="Times New Roman" w:cs="Times New Roman"/>
          <w:i/>
          <w:iCs/>
          <w:color w:val="000000"/>
          <w:kern w:val="2"/>
          <w:sz w:val="24"/>
          <w:szCs w:val="24"/>
          <w:lang w:val="en-US"/>
          <w14:ligatures w14:val="standardContextual"/>
        </w:rPr>
      </w:pPr>
      <w:r w:rsidRPr="0320F0AF">
        <w:rPr>
          <w:rFonts w:ascii="Times New Roman" w:eastAsia="Times New Roman" w:hAnsi="Times New Roman" w:cs="Times New Roman"/>
          <w:color w:val="000000"/>
          <w:kern w:val="2"/>
          <w:sz w:val="24"/>
          <w:szCs w:val="24"/>
          <w:lang w:val="en-US"/>
          <w14:ligatures w14:val="standardContextual"/>
        </w:rPr>
        <w:t xml:space="preserve">Critical Appraisal Skills Programme. (2023). </w:t>
      </w:r>
      <w:r w:rsidRPr="0320F0AF">
        <w:rPr>
          <w:rFonts w:ascii="Times New Roman" w:eastAsia="Times New Roman" w:hAnsi="Times New Roman" w:cs="Times New Roman"/>
          <w:i/>
          <w:iCs/>
          <w:color w:val="000000"/>
          <w:kern w:val="2"/>
          <w:sz w:val="24"/>
          <w:szCs w:val="24"/>
          <w:lang w:val="en-US"/>
          <w14:ligatures w14:val="standardContextual"/>
        </w:rPr>
        <w:t xml:space="preserve">CASP checklist: Systematic reviews with meta-analysis of randomized controlled trials (RCTs). </w:t>
      </w:r>
      <w:hyperlink r:id="rId20" w:history="1">
        <w:r w:rsidRPr="0320F0AF">
          <w:rPr>
            <w:rStyle w:val="Hyperlink"/>
            <w:rFonts w:ascii="Times New Roman" w:eastAsia="Times New Roman" w:hAnsi="Times New Roman" w:cs="Times New Roman"/>
            <w:kern w:val="2"/>
            <w:sz w:val="24"/>
            <w:szCs w:val="24"/>
            <w:lang w:val="en-US"/>
            <w14:ligatures w14:val="standardContextual"/>
          </w:rPr>
          <w:t>https://casp-uk.net/casp-tools-checklists/systematic-reviews-meta-analysis-rcts/</w:t>
        </w:r>
      </w:hyperlink>
      <w:r w:rsidRPr="0320F0AF">
        <w:rPr>
          <w:rFonts w:ascii="Times New Roman" w:eastAsia="Times New Roman" w:hAnsi="Times New Roman" w:cs="Times New Roman"/>
          <w:i/>
          <w:iCs/>
          <w:color w:val="000000"/>
          <w:kern w:val="2"/>
          <w:sz w:val="24"/>
          <w:szCs w:val="24"/>
          <w:lang w:val="en-US"/>
          <w14:ligatures w14:val="standardContextual"/>
        </w:rPr>
        <w:t xml:space="preserve"> </w:t>
      </w:r>
    </w:p>
    <w:p w14:paraId="1164FE0C" w14:textId="5CC1C466" w:rsidR="00C533B0" w:rsidRPr="00C533B0" w:rsidRDefault="6C4E6DAD" w:rsidP="0320F0AF">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320F0AF">
        <w:rPr>
          <w:rFonts w:ascii="Times New Roman" w:eastAsia="Times New Roman" w:hAnsi="Times New Roman" w:cs="Times New Roman"/>
          <w:color w:val="000000"/>
          <w:kern w:val="2"/>
          <w:sz w:val="24"/>
          <w:szCs w:val="24"/>
          <w:lang w:val="en-US"/>
          <w14:ligatures w14:val="standardContextual"/>
        </w:rPr>
        <w:t xml:space="preserve">Critical Appraisal Skills Programme. (2023). </w:t>
      </w:r>
      <w:r w:rsidRPr="0320F0AF">
        <w:rPr>
          <w:rFonts w:ascii="Times New Roman" w:eastAsia="Times New Roman" w:hAnsi="Times New Roman" w:cs="Times New Roman"/>
          <w:i/>
          <w:iCs/>
          <w:color w:val="000000"/>
          <w:kern w:val="2"/>
          <w:sz w:val="24"/>
          <w:szCs w:val="24"/>
          <w:lang w:val="en-US"/>
          <w14:ligatures w14:val="standardContextual"/>
        </w:rPr>
        <w:t xml:space="preserve">CASP checklist: Randomized controlled trials. </w:t>
      </w:r>
      <w:hyperlink r:id="rId21" w:history="1">
        <w:r w:rsidRPr="0320F0AF">
          <w:rPr>
            <w:rStyle w:val="Hyperlink"/>
            <w:rFonts w:ascii="Times New Roman" w:eastAsia="Times New Roman" w:hAnsi="Times New Roman" w:cs="Times New Roman"/>
            <w:kern w:val="2"/>
            <w:sz w:val="24"/>
            <w:szCs w:val="24"/>
            <w:lang w:val="en-US"/>
            <w14:ligatures w14:val="standardContextual"/>
          </w:rPr>
          <w:t>https://casp-uk.net/casp-tools-checklists/randomised-controlled-trial-rct-checklist/</w:t>
        </w:r>
      </w:hyperlink>
      <w:r w:rsidRPr="0320F0AF">
        <w:rPr>
          <w:rFonts w:ascii="Times New Roman" w:eastAsia="Times New Roman" w:hAnsi="Times New Roman" w:cs="Times New Roman"/>
          <w:i/>
          <w:iCs/>
          <w:color w:val="000000"/>
          <w:kern w:val="2"/>
          <w:sz w:val="24"/>
          <w:szCs w:val="24"/>
          <w:lang w:val="en-US"/>
          <w14:ligatures w14:val="standardContextual"/>
        </w:rPr>
        <w:t xml:space="preserve"> </w:t>
      </w:r>
    </w:p>
    <w:p w14:paraId="434E8A29" w14:textId="2E88A802" w:rsidR="0012624C" w:rsidRPr="0012624C" w:rsidRDefault="0012624C" w:rsidP="1CF5E637">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14:ligatures w14:val="standardContextual"/>
        </w:rPr>
        <w:t>D’Souza, R. S., Esfahani, K., &amp; Dunn, L. K. (2023). Pro-con debate: Role of methadone in</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14:ligatures w14:val="standardContextual"/>
        </w:rPr>
        <w:t>enhanced recovery after surgery protocols</w:t>
      </w:r>
      <w:r w:rsidR="64D05109" w:rsidRPr="1CF5E637">
        <w:rPr>
          <w:rFonts w:ascii="Times New Roman" w:eastAsia="Times New Roman" w:hAnsi="Times New Roman" w:cs="Times New Roman"/>
          <w:color w:val="000000" w:themeColor="text1"/>
          <w:sz w:val="24"/>
          <w:szCs w:val="24"/>
        </w:rPr>
        <w:t>—S</w:t>
      </w:r>
      <w:r w:rsidRPr="1CF5E637">
        <w:rPr>
          <w:rFonts w:ascii="Times New Roman" w:eastAsia="Times New Roman" w:hAnsi="Times New Roman" w:cs="Times New Roman"/>
          <w:color w:val="000000" w:themeColor="text1"/>
          <w:sz w:val="24"/>
          <w:szCs w:val="24"/>
        </w:rPr>
        <w:t>uperior analgesic or harmful drug?</w:t>
      </w:r>
      <w:r w:rsidRPr="1CF5E637">
        <w:rPr>
          <w:rFonts w:ascii="Times New Roman" w:eastAsia="Times New Roman" w:hAnsi="Times New Roman" w:cs="Times New Roman"/>
          <w:color w:val="000000" w:themeColor="text1"/>
          <w:sz w:val="24"/>
          <w:szCs w:val="24"/>
          <w:lang w:val="en-US"/>
        </w:rPr>
        <w:t xml:space="preserve"> </w:t>
      </w:r>
      <w:r w:rsidRPr="1CF5E637">
        <w:rPr>
          <w:rFonts w:ascii="Times New Roman" w:eastAsia="Times New Roman" w:hAnsi="Times New Roman" w:cs="Times New Roman"/>
          <w:i/>
          <w:iCs/>
          <w:color w:val="000000" w:themeColor="text1"/>
          <w:sz w:val="24"/>
          <w:szCs w:val="24"/>
        </w:rPr>
        <w:t>Anesthesia &amp; Analgesia, 137</w:t>
      </w:r>
      <w:r w:rsidRPr="1CF5E637">
        <w:rPr>
          <w:rFonts w:ascii="Times New Roman" w:eastAsia="Times New Roman" w:hAnsi="Times New Roman" w:cs="Times New Roman"/>
          <w:color w:val="000000" w:themeColor="text1"/>
          <w:sz w:val="24"/>
          <w:szCs w:val="24"/>
        </w:rPr>
        <w:t xml:space="preserve">(1), 76–82. </w:t>
      </w:r>
      <w:hyperlink r:id="rId22">
        <w:r w:rsidRPr="1CF5E637">
          <w:rPr>
            <w:rFonts w:ascii="Times New Roman" w:eastAsia="Times New Roman" w:hAnsi="Times New Roman" w:cs="Times New Roman"/>
            <w:color w:val="467886"/>
            <w:sz w:val="24"/>
            <w:szCs w:val="24"/>
            <w:u w:val="single"/>
          </w:rPr>
          <w:t>https://doi.org/10.1213/ANE.0000000000006331</w:t>
        </w:r>
      </w:hyperlink>
    </w:p>
    <w:p w14:paraId="37171BF0"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Green, K. W., Popovic, G., &amp; </w:t>
      </w:r>
      <w:proofErr w:type="spellStart"/>
      <w:r w:rsidRPr="0012624C">
        <w:rPr>
          <w:rFonts w:ascii="Times New Roman" w:eastAsia="Times New Roman" w:hAnsi="Times New Roman" w:cs="Times New Roman"/>
          <w:color w:val="000000"/>
          <w:kern w:val="2"/>
          <w:sz w:val="24"/>
          <w:szCs w:val="24"/>
          <w:lang w:val="en-US"/>
          <w14:ligatures w14:val="standardContextual"/>
        </w:rPr>
        <w:t>Baitch</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L. (2024). Intraoperative methadone for day-case </w:t>
      </w:r>
      <w:proofErr w:type="spellStart"/>
      <w:r w:rsidRPr="0012624C">
        <w:rPr>
          <w:rFonts w:ascii="Times New Roman" w:eastAsia="Times New Roman" w:hAnsi="Times New Roman" w:cs="Times New Roman"/>
          <w:color w:val="000000"/>
          <w:kern w:val="2"/>
          <w:sz w:val="24"/>
          <w:szCs w:val="24"/>
          <w:lang w:val="en-US"/>
          <w14:ligatures w14:val="standardContextual"/>
        </w:rPr>
        <w:t>gynaecological</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laparoscopy: A double-blind, </w:t>
      </w:r>
      <w:proofErr w:type="spellStart"/>
      <w:r w:rsidRPr="0012624C">
        <w:rPr>
          <w:rFonts w:ascii="Times New Roman" w:eastAsia="Times New Roman" w:hAnsi="Times New Roman" w:cs="Times New Roman"/>
          <w:color w:val="000000"/>
          <w:kern w:val="2"/>
          <w:sz w:val="24"/>
          <w:szCs w:val="24"/>
          <w:lang w:val="en-US"/>
          <w14:ligatures w14:val="standardContextual"/>
        </w:rPr>
        <w:t>randomised</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controlled trial. </w:t>
      </w:r>
      <w:proofErr w:type="spellStart"/>
      <w:r w:rsidRPr="0012624C">
        <w:rPr>
          <w:rFonts w:ascii="Times New Roman" w:eastAsia="Times New Roman" w:hAnsi="Times New Roman" w:cs="Times New Roman"/>
          <w:i/>
          <w:iCs/>
          <w:color w:val="000000"/>
          <w:kern w:val="2"/>
          <w:sz w:val="24"/>
          <w:szCs w:val="24"/>
          <w:lang w:val="en-US"/>
          <w14:ligatures w14:val="standardContextual"/>
        </w:rPr>
        <w:t>Anaesthesia</w:t>
      </w:r>
      <w:proofErr w:type="spellEnd"/>
      <w:r w:rsidRPr="0012624C">
        <w:rPr>
          <w:rFonts w:ascii="Times New Roman" w:eastAsia="Times New Roman" w:hAnsi="Times New Roman" w:cs="Times New Roman"/>
          <w:i/>
          <w:iCs/>
          <w:color w:val="000000"/>
          <w:kern w:val="2"/>
          <w:sz w:val="24"/>
          <w:szCs w:val="24"/>
          <w:lang w:val="en-US"/>
          <w14:ligatures w14:val="standardContextual"/>
        </w:rPr>
        <w:t xml:space="preserve"> and Intensive Care, 52</w:t>
      </w:r>
      <w:r w:rsidRPr="0012624C">
        <w:rPr>
          <w:rFonts w:ascii="Times New Roman" w:eastAsia="Times New Roman" w:hAnsi="Times New Roman" w:cs="Times New Roman"/>
          <w:color w:val="000000"/>
          <w:kern w:val="2"/>
          <w:sz w:val="24"/>
          <w:szCs w:val="24"/>
          <w:lang w:val="en-US"/>
          <w14:ligatures w14:val="standardContextual"/>
        </w:rPr>
        <w:t>(3), 168–179.</w:t>
      </w:r>
      <w:hyperlink r:id="rId23">
        <w:r w:rsidRPr="0012624C">
          <w:rPr>
            <w:rFonts w:ascii="Times New Roman" w:eastAsia="Times New Roman" w:hAnsi="Times New Roman" w:cs="Times New Roman"/>
            <w:color w:val="000000"/>
            <w:kern w:val="2"/>
            <w:sz w:val="24"/>
            <w:szCs w:val="24"/>
            <w:u w:val="single"/>
            <w:lang w:val="en-US"/>
            <w14:ligatures w14:val="standardContextual"/>
          </w:rPr>
          <w:t xml:space="preserve"> </w:t>
        </w:r>
      </w:hyperlink>
      <w:hyperlink r:id="rId24">
        <w:r w:rsidRPr="0012624C">
          <w:rPr>
            <w:rFonts w:ascii="Times New Roman" w:eastAsia="Times New Roman" w:hAnsi="Times New Roman" w:cs="Times New Roman"/>
            <w:color w:val="467886"/>
            <w:kern w:val="2"/>
            <w:sz w:val="24"/>
            <w:szCs w:val="24"/>
            <w:u w:val="single"/>
            <w:lang w:val="en-US"/>
            <w14:ligatures w14:val="standardContextual"/>
          </w:rPr>
          <w:t>https://doi.org/10.1177/0310057x231214551</w:t>
        </w:r>
      </w:hyperlink>
    </w:p>
    <w:p w14:paraId="0C97A640"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Hanna, V., &amp; </w:t>
      </w:r>
      <w:proofErr w:type="spellStart"/>
      <w:r w:rsidRPr="0012624C">
        <w:rPr>
          <w:rFonts w:ascii="Times New Roman" w:eastAsia="Times New Roman" w:hAnsi="Times New Roman" w:cs="Times New Roman"/>
          <w:color w:val="000000"/>
          <w:kern w:val="2"/>
          <w:sz w:val="24"/>
          <w:szCs w:val="24"/>
          <w:lang w:val="en-US"/>
          <w14:ligatures w14:val="standardContextual"/>
        </w:rPr>
        <w:t>Senderovich</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H. (2021). Methadone in pain management: A systematic review. </w:t>
      </w:r>
      <w:r w:rsidRPr="0012624C">
        <w:rPr>
          <w:rFonts w:ascii="Times New Roman" w:eastAsia="Times New Roman" w:hAnsi="Times New Roman" w:cs="Times New Roman"/>
          <w:i/>
          <w:iCs/>
          <w:color w:val="000000"/>
          <w:kern w:val="2"/>
          <w:sz w:val="24"/>
          <w:szCs w:val="24"/>
          <w14:ligatures w14:val="standardContextual"/>
        </w:rPr>
        <w:t>The Journal of Pain, 22</w:t>
      </w:r>
      <w:r w:rsidRPr="0012624C">
        <w:rPr>
          <w:rFonts w:ascii="Times New Roman" w:eastAsia="Times New Roman" w:hAnsi="Times New Roman" w:cs="Times New Roman"/>
          <w:color w:val="000000"/>
          <w:kern w:val="2"/>
          <w:sz w:val="24"/>
          <w:szCs w:val="24"/>
          <w14:ligatures w14:val="standardContextual"/>
        </w:rPr>
        <w:t>(3), 233–245.</w:t>
      </w:r>
      <w:hyperlink r:id="rId25">
        <w:r w:rsidRPr="0012624C">
          <w:rPr>
            <w:rFonts w:ascii="Times New Roman" w:eastAsia="Times New Roman" w:hAnsi="Times New Roman" w:cs="Times New Roman"/>
            <w:color w:val="000000"/>
            <w:kern w:val="2"/>
            <w:sz w:val="24"/>
            <w:szCs w:val="24"/>
            <w:u w:val="single"/>
            <w14:ligatures w14:val="standardContextual"/>
          </w:rPr>
          <w:t xml:space="preserve"> </w:t>
        </w:r>
      </w:hyperlink>
      <w:hyperlink r:id="rId26">
        <w:r w:rsidRPr="0012624C">
          <w:rPr>
            <w:rFonts w:ascii="Times New Roman" w:eastAsia="Times New Roman" w:hAnsi="Times New Roman" w:cs="Times New Roman"/>
            <w:color w:val="467886"/>
            <w:kern w:val="2"/>
            <w:sz w:val="24"/>
            <w:szCs w:val="24"/>
            <w:u w:val="single"/>
            <w14:ligatures w14:val="standardContextual"/>
          </w:rPr>
          <w:t>https://doi.org/10.1016/j.jpain.2020.04.004</w:t>
        </w:r>
      </w:hyperlink>
    </w:p>
    <w:p w14:paraId="30D1937B"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Kendall, M. C., Alves, L. J., Pence, K., </w:t>
      </w:r>
      <w:proofErr w:type="spellStart"/>
      <w:r w:rsidRPr="0012624C">
        <w:rPr>
          <w:rFonts w:ascii="Times New Roman" w:eastAsia="Times New Roman" w:hAnsi="Times New Roman" w:cs="Times New Roman"/>
          <w:color w:val="000000"/>
          <w:kern w:val="2"/>
          <w:sz w:val="24"/>
          <w:szCs w:val="24"/>
          <w:lang w:val="en-US"/>
          <w14:ligatures w14:val="standardContextual"/>
        </w:rPr>
        <w:t>Mukhdomi</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T., Croxford, D., &amp; De Oliveira, G. S. </w:t>
      </w:r>
      <w:r w:rsidRPr="0012624C">
        <w:rPr>
          <w:rFonts w:ascii="Times New Roman" w:eastAsia="Times New Roman" w:hAnsi="Times New Roman" w:cs="Times New Roman"/>
          <w:color w:val="000000"/>
          <w:kern w:val="2"/>
          <w:sz w:val="24"/>
          <w:szCs w:val="24"/>
          <w14:ligatures w14:val="standardContextual"/>
        </w:rPr>
        <w:t>(2020). The effect of intraoperative methadone compared to morphine on postsurgical</w:t>
      </w:r>
      <w:r w:rsidRPr="0012624C">
        <w:rPr>
          <w:rFonts w:ascii="Times New Roman" w:eastAsia="Times New Roman" w:hAnsi="Times New Roman" w:cs="Times New Roman"/>
          <w:color w:val="000000"/>
          <w:kern w:val="2"/>
          <w:sz w:val="24"/>
          <w:szCs w:val="24"/>
          <w:lang w:val="en-US"/>
          <w14:ligatures w14:val="standardContextual"/>
        </w:rPr>
        <w:t xml:space="preserve"> pain: A meta-analysis of randomized controlled trials. </w:t>
      </w:r>
      <w:r w:rsidRPr="0012624C">
        <w:rPr>
          <w:rFonts w:ascii="Times New Roman" w:eastAsia="Times New Roman" w:hAnsi="Times New Roman" w:cs="Times New Roman"/>
          <w:i/>
          <w:iCs/>
          <w:color w:val="000000"/>
          <w:kern w:val="2"/>
          <w:sz w:val="24"/>
          <w:szCs w:val="24"/>
          <w:lang w:val="en-US"/>
          <w14:ligatures w14:val="standardContextual"/>
        </w:rPr>
        <w:t>Anesthesiology Research and</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i/>
          <w:iCs/>
          <w:color w:val="000000"/>
          <w:kern w:val="2"/>
          <w:sz w:val="24"/>
          <w:szCs w:val="24"/>
          <w14:ligatures w14:val="standardContextual"/>
        </w:rPr>
        <w:t>Practice</w:t>
      </w:r>
      <w:r w:rsidRPr="0012624C">
        <w:rPr>
          <w:rFonts w:ascii="Times New Roman" w:eastAsia="Times New Roman" w:hAnsi="Times New Roman" w:cs="Times New Roman"/>
          <w:color w:val="000000"/>
          <w:kern w:val="2"/>
          <w:sz w:val="24"/>
          <w:szCs w:val="24"/>
          <w14:ligatures w14:val="standardContextual"/>
        </w:rPr>
        <w:t xml:space="preserve">, </w:t>
      </w:r>
      <w:r w:rsidRPr="0012624C">
        <w:rPr>
          <w:rFonts w:ascii="Times New Roman" w:eastAsia="Times New Roman" w:hAnsi="Times New Roman" w:cs="Times New Roman"/>
          <w:i/>
          <w:iCs/>
          <w:color w:val="000000"/>
          <w:kern w:val="2"/>
          <w:sz w:val="24"/>
          <w:szCs w:val="24"/>
          <w14:ligatures w14:val="standardContextual"/>
        </w:rPr>
        <w:t>2020</w:t>
      </w:r>
      <w:r w:rsidRPr="0012624C">
        <w:rPr>
          <w:rFonts w:ascii="Times New Roman" w:eastAsia="Times New Roman" w:hAnsi="Times New Roman" w:cs="Times New Roman"/>
          <w:color w:val="000000"/>
          <w:kern w:val="2"/>
          <w:sz w:val="24"/>
          <w:szCs w:val="24"/>
          <w14:ligatures w14:val="standardContextual"/>
        </w:rPr>
        <w:t>(</w:t>
      </w:r>
      <w:r w:rsidRPr="0012624C">
        <w:rPr>
          <w:rFonts w:ascii="Times New Roman" w:eastAsia="Times New Roman" w:hAnsi="Times New Roman" w:cs="Times New Roman"/>
          <w:color w:val="1C1D1E"/>
          <w:kern w:val="2"/>
          <w:sz w:val="24"/>
          <w:szCs w:val="24"/>
          <w14:ligatures w14:val="standardContextual"/>
        </w:rPr>
        <w:t>6974321)</w:t>
      </w:r>
      <w:r w:rsidRPr="0012624C">
        <w:rPr>
          <w:rFonts w:ascii="Times New Roman" w:eastAsia="Times New Roman" w:hAnsi="Times New Roman" w:cs="Times New Roman"/>
          <w:color w:val="000000"/>
          <w:kern w:val="2"/>
          <w:sz w:val="24"/>
          <w:szCs w:val="24"/>
          <w14:ligatures w14:val="standardContextual"/>
        </w:rPr>
        <w:t xml:space="preserve">, </w:t>
      </w:r>
      <w:r w:rsidRPr="0012624C">
        <w:rPr>
          <w:rFonts w:ascii="Times New Roman" w:eastAsia="Times New Roman" w:hAnsi="Times New Roman" w:cs="Times New Roman"/>
          <w:color w:val="000000"/>
          <w:kern w:val="2"/>
          <w:sz w:val="24"/>
          <w:szCs w:val="24"/>
          <w:lang w:val="en-US"/>
          <w14:ligatures w14:val="standardContextual"/>
        </w:rPr>
        <w:t>1–9</w:t>
      </w:r>
      <w:r w:rsidRPr="0012624C">
        <w:rPr>
          <w:rFonts w:ascii="Times New Roman" w:eastAsia="Times New Roman" w:hAnsi="Times New Roman" w:cs="Times New Roman"/>
          <w:color w:val="000000"/>
          <w:kern w:val="2"/>
          <w:sz w:val="24"/>
          <w:szCs w:val="24"/>
          <w14:ligatures w14:val="standardContextual"/>
        </w:rPr>
        <w:t xml:space="preserve">. </w:t>
      </w:r>
      <w:hyperlink r:id="rId27">
        <w:r w:rsidRPr="0012624C">
          <w:rPr>
            <w:rFonts w:ascii="Times New Roman" w:eastAsia="Times New Roman" w:hAnsi="Times New Roman" w:cs="Times New Roman"/>
            <w:color w:val="1155CC"/>
            <w:kern w:val="2"/>
            <w:sz w:val="24"/>
            <w:szCs w:val="24"/>
            <w:u w:val="single"/>
            <w14:ligatures w14:val="standardContextual"/>
          </w:rPr>
          <w:t>https://doi.org/10.1155/2020/6974321</w:t>
        </w:r>
      </w:hyperlink>
    </w:p>
    <w:p w14:paraId="7313B24B"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14:ligatures w14:val="standardContextual"/>
        </w:rPr>
        <w:lastRenderedPageBreak/>
        <w:t>Kharasch, E. D., Brunt, L. M., Blood, J., &amp; Komen, H. (2023). Intraoperative methadone in next</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14:ligatures w14:val="standardContextual"/>
        </w:rPr>
        <w:t>day discharge outpatient surgery: A randomized, double-blinded, dose-finding pilot</w:t>
      </w:r>
      <w:r w:rsidRPr="0012624C">
        <w:rPr>
          <w:rFonts w:ascii="Times New Roman" w:eastAsia="Times New Roman" w:hAnsi="Times New Roman" w:cs="Times New Roman"/>
          <w:color w:val="000000"/>
          <w:kern w:val="2"/>
          <w:sz w:val="24"/>
          <w:szCs w:val="24"/>
          <w:lang w:val="en-US"/>
          <w14:ligatures w14:val="standardContextual"/>
        </w:rPr>
        <w:t xml:space="preserve"> study. </w:t>
      </w:r>
      <w:r w:rsidRPr="0012624C">
        <w:rPr>
          <w:rFonts w:ascii="Times New Roman" w:eastAsia="Times New Roman" w:hAnsi="Times New Roman" w:cs="Times New Roman"/>
          <w:i/>
          <w:iCs/>
          <w:color w:val="000000"/>
          <w:kern w:val="2"/>
          <w:sz w:val="24"/>
          <w:szCs w:val="24"/>
          <w:lang w:val="en-US"/>
          <w14:ligatures w14:val="standardContextual"/>
        </w:rPr>
        <w:t>Anesthesiology, 139</w:t>
      </w:r>
      <w:r w:rsidRPr="0012624C">
        <w:rPr>
          <w:rFonts w:ascii="Times New Roman" w:eastAsia="Times New Roman" w:hAnsi="Times New Roman" w:cs="Times New Roman"/>
          <w:color w:val="000000"/>
          <w:kern w:val="2"/>
          <w:sz w:val="24"/>
          <w:szCs w:val="24"/>
          <w:lang w:val="en-US"/>
          <w14:ligatures w14:val="standardContextual"/>
        </w:rPr>
        <w:t>(4), 405–419.</w:t>
      </w:r>
      <w:hyperlink r:id="rId28">
        <w:r w:rsidRPr="0012624C">
          <w:rPr>
            <w:rFonts w:ascii="Times New Roman" w:eastAsia="Times New Roman" w:hAnsi="Times New Roman" w:cs="Times New Roman"/>
            <w:color w:val="000000"/>
            <w:kern w:val="2"/>
            <w:sz w:val="24"/>
            <w:szCs w:val="24"/>
            <w:u w:val="single"/>
            <w:lang w:val="en-US"/>
            <w14:ligatures w14:val="standardContextual"/>
          </w:rPr>
          <w:t xml:space="preserve"> </w:t>
        </w:r>
      </w:hyperlink>
      <w:hyperlink r:id="rId29">
        <w:r w:rsidRPr="0012624C">
          <w:rPr>
            <w:rFonts w:ascii="Times New Roman" w:eastAsia="Times New Roman" w:hAnsi="Times New Roman" w:cs="Times New Roman"/>
            <w:color w:val="467886"/>
            <w:kern w:val="2"/>
            <w:sz w:val="24"/>
            <w:szCs w:val="24"/>
            <w:u w:val="single"/>
            <w:lang w:val="en-US"/>
            <w14:ligatures w14:val="standardContextual"/>
          </w:rPr>
          <w:t>https://doi.org/10.1097/aln.0000000000004663</w:t>
        </w:r>
      </w:hyperlink>
    </w:p>
    <w:p w14:paraId="55ABD491"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proofErr w:type="spellStart"/>
      <w:r w:rsidRPr="0012624C">
        <w:rPr>
          <w:rFonts w:ascii="Times New Roman" w:eastAsia="Times New Roman" w:hAnsi="Times New Roman" w:cs="Times New Roman"/>
          <w:color w:val="000000"/>
          <w:kern w:val="2"/>
          <w:sz w:val="24"/>
          <w:szCs w:val="24"/>
          <w:lang w:val="en-US"/>
          <w14:ligatures w14:val="standardContextual"/>
        </w:rPr>
        <w:t>Laguado</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D., Hu, J., Watkins, C., &amp; </w:t>
      </w:r>
      <w:proofErr w:type="spellStart"/>
      <w:r w:rsidRPr="0012624C">
        <w:rPr>
          <w:rFonts w:ascii="Times New Roman" w:eastAsia="Times New Roman" w:hAnsi="Times New Roman" w:cs="Times New Roman"/>
          <w:color w:val="000000"/>
          <w:kern w:val="2"/>
          <w:sz w:val="24"/>
          <w:szCs w:val="24"/>
          <w:lang w:val="en-US"/>
          <w14:ligatures w14:val="standardContextual"/>
        </w:rPr>
        <w:t>Furstein</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J. (2025). Intraoperative utilization of intravenous methadone for postoperative pain control. </w:t>
      </w:r>
      <w:r w:rsidRPr="0012624C">
        <w:rPr>
          <w:rFonts w:ascii="Times New Roman" w:eastAsia="Times New Roman" w:hAnsi="Times New Roman" w:cs="Times New Roman"/>
          <w:i/>
          <w:iCs/>
          <w:color w:val="000000"/>
          <w:kern w:val="2"/>
          <w:sz w:val="24"/>
          <w:szCs w:val="24"/>
          <w:lang w:val="en-US"/>
          <w14:ligatures w14:val="standardContextual"/>
        </w:rPr>
        <w:t xml:space="preserve">Journal of </w:t>
      </w:r>
      <w:proofErr w:type="spellStart"/>
      <w:r w:rsidRPr="0012624C">
        <w:rPr>
          <w:rFonts w:ascii="Times New Roman" w:eastAsia="Times New Roman" w:hAnsi="Times New Roman" w:cs="Times New Roman"/>
          <w:i/>
          <w:iCs/>
          <w:color w:val="000000"/>
          <w:kern w:val="2"/>
          <w:sz w:val="24"/>
          <w:szCs w:val="24"/>
          <w:lang w:val="en-US"/>
          <w14:ligatures w14:val="standardContextual"/>
        </w:rPr>
        <w:t>PeriAnesthesia</w:t>
      </w:r>
      <w:proofErr w:type="spellEnd"/>
      <w:r w:rsidRPr="0012624C">
        <w:rPr>
          <w:rFonts w:ascii="Times New Roman" w:eastAsia="Times New Roman" w:hAnsi="Times New Roman" w:cs="Times New Roman"/>
          <w:i/>
          <w:iCs/>
          <w:color w:val="000000"/>
          <w:kern w:val="2"/>
          <w:sz w:val="24"/>
          <w:szCs w:val="24"/>
          <w:lang w:val="en-US"/>
          <w14:ligatures w14:val="standardContextual"/>
        </w:rPr>
        <w:t xml:space="preserve"> Nursing, 40(6), 1627–1634. </w:t>
      </w:r>
      <w:hyperlink r:id="rId30">
        <w:r w:rsidRPr="0012624C">
          <w:rPr>
            <w:rFonts w:ascii="Times New Roman" w:eastAsia="Times New Roman" w:hAnsi="Times New Roman" w:cs="Times New Roman"/>
            <w:color w:val="0563C1"/>
            <w:kern w:val="2"/>
            <w:sz w:val="24"/>
            <w:szCs w:val="24"/>
            <w:u w:val="single"/>
            <w14:ligatures w14:val="standardContextual"/>
          </w:rPr>
          <w:t>https://doi.org/10.1016/j.jopan.2025.03.007</w:t>
        </w:r>
      </w:hyperlink>
    </w:p>
    <w:p w14:paraId="3C06991D"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proofErr w:type="spellStart"/>
      <w:r w:rsidRPr="0012624C">
        <w:rPr>
          <w:rFonts w:ascii="Times New Roman" w:eastAsia="Times New Roman" w:hAnsi="Times New Roman" w:cs="Times New Roman"/>
          <w:color w:val="000000"/>
          <w:kern w:val="2"/>
          <w:sz w:val="24"/>
          <w:szCs w:val="24"/>
          <w:lang w:val="en-US"/>
          <w14:ligatures w14:val="standardContextual"/>
        </w:rPr>
        <w:t>Lobova</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V. A., Roll, J. M., &amp; Roll, M. L. C. (2021). Intraoperative methadone use in cardiac surgery: A systematic review. </w:t>
      </w:r>
      <w:r w:rsidRPr="0012624C">
        <w:rPr>
          <w:rFonts w:ascii="Times New Roman" w:eastAsia="Times New Roman" w:hAnsi="Times New Roman" w:cs="Times New Roman"/>
          <w:i/>
          <w:iCs/>
          <w:color w:val="000000"/>
          <w:kern w:val="2"/>
          <w:sz w:val="24"/>
          <w:szCs w:val="24"/>
          <w:lang w:val="en-US"/>
          <w14:ligatures w14:val="standardContextual"/>
        </w:rPr>
        <w:t>Pain Medicine, 22</w:t>
      </w:r>
      <w:r w:rsidRPr="0012624C">
        <w:rPr>
          <w:rFonts w:ascii="Times New Roman" w:eastAsia="Times New Roman" w:hAnsi="Times New Roman" w:cs="Times New Roman"/>
          <w:color w:val="000000"/>
          <w:kern w:val="2"/>
          <w:sz w:val="24"/>
          <w:szCs w:val="24"/>
          <w:lang w:val="en-US"/>
          <w14:ligatures w14:val="standardContextual"/>
        </w:rPr>
        <w:t xml:space="preserve">(12), 2827–2834. </w:t>
      </w:r>
      <w:hyperlink r:id="rId31" w:history="1">
        <w:r w:rsidRPr="0012624C">
          <w:rPr>
            <w:rFonts w:ascii="Times New Roman" w:eastAsia="Times New Roman" w:hAnsi="Times New Roman" w:cs="Times New Roman"/>
            <w:color w:val="0563C1"/>
            <w:kern w:val="2"/>
            <w:sz w:val="24"/>
            <w:szCs w:val="24"/>
            <w:u w:val="single"/>
            <w:lang w:val="en-US"/>
            <w14:ligatures w14:val="standardContextual"/>
          </w:rPr>
          <w:t>https://doi.org/10.1093/pm/pnab269</w:t>
        </w:r>
      </w:hyperlink>
    </w:p>
    <w:p w14:paraId="642CD097"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14:ligatures w14:val="standardContextual"/>
        </w:rPr>
        <w:t>Mercadante, S. (2023). Intravenous methadone for perioperative and chronic cancer pain: A</w:t>
      </w:r>
      <w:r w:rsidRPr="0012624C">
        <w:rPr>
          <w:rFonts w:ascii="Times New Roman" w:eastAsia="Times New Roman" w:hAnsi="Times New Roman" w:cs="Times New Roman"/>
          <w:color w:val="000000"/>
          <w:kern w:val="2"/>
          <w:sz w:val="24"/>
          <w:szCs w:val="24"/>
          <w:lang w:val="en-US"/>
          <w14:ligatures w14:val="standardContextual"/>
        </w:rPr>
        <w:t xml:space="preserve"> review of the literature. </w:t>
      </w:r>
      <w:r w:rsidRPr="0012624C">
        <w:rPr>
          <w:rFonts w:ascii="Times New Roman" w:eastAsia="Times New Roman" w:hAnsi="Times New Roman" w:cs="Times New Roman"/>
          <w:i/>
          <w:iCs/>
          <w:color w:val="000000"/>
          <w:kern w:val="2"/>
          <w:sz w:val="24"/>
          <w:szCs w:val="24"/>
          <w:lang w:val="en-US"/>
          <w14:ligatures w14:val="standardContextual"/>
        </w:rPr>
        <w:t>Drugs</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i/>
          <w:iCs/>
          <w:color w:val="000000"/>
          <w:kern w:val="2"/>
          <w:sz w:val="24"/>
          <w:szCs w:val="24"/>
          <w:lang w:val="en-US"/>
          <w14:ligatures w14:val="standardContextual"/>
        </w:rPr>
        <w:t>83</w:t>
      </w:r>
      <w:r w:rsidRPr="0012624C">
        <w:rPr>
          <w:rFonts w:ascii="Times New Roman" w:eastAsia="Times New Roman" w:hAnsi="Times New Roman" w:cs="Times New Roman"/>
          <w:color w:val="000000"/>
          <w:kern w:val="2"/>
          <w:sz w:val="24"/>
          <w:szCs w:val="24"/>
          <w:lang w:val="en-US"/>
          <w14:ligatures w14:val="standardContextual"/>
        </w:rPr>
        <w:t xml:space="preserve">(10), 865–871. </w:t>
      </w:r>
      <w:hyperlink r:id="rId32" w:history="1">
        <w:r w:rsidRPr="0012624C">
          <w:rPr>
            <w:rFonts w:ascii="Times New Roman" w:eastAsia="Times New Roman" w:hAnsi="Times New Roman" w:cs="Times New Roman"/>
            <w:color w:val="0563C1"/>
            <w:kern w:val="2"/>
            <w:sz w:val="24"/>
            <w:szCs w:val="24"/>
            <w:u w:val="single"/>
            <w:lang w:val="en-US"/>
            <w14:ligatures w14:val="standardContextual"/>
          </w:rPr>
          <w:t>https://doi.org/10.1007/s40265-023-01876-7</w:t>
        </w:r>
      </w:hyperlink>
    </w:p>
    <w:p w14:paraId="264B0FA4"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Murphy, G. S., Avram, M. J., Greenberg, S. B., Benson, J., Bilimoria, S., Maher, C. E., </w:t>
      </w:r>
      <w:proofErr w:type="spellStart"/>
      <w:r w:rsidRPr="0012624C">
        <w:rPr>
          <w:rFonts w:ascii="Times New Roman" w:eastAsia="Times New Roman" w:hAnsi="Times New Roman" w:cs="Times New Roman"/>
          <w:color w:val="000000"/>
          <w:kern w:val="2"/>
          <w:sz w:val="24"/>
          <w:szCs w:val="24"/>
          <w:lang w:val="en-US"/>
          <w14:ligatures w14:val="standardContextual"/>
        </w:rPr>
        <w:t>Teister</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K., &amp; Szokol, J. W. (2021). Perioperative methadone and ketamine for postoperative pain control in spinal surgical patients: A randomized, double-blind, placebo-controlled trial. </w:t>
      </w:r>
      <w:r w:rsidRPr="0012624C">
        <w:rPr>
          <w:rFonts w:ascii="Times New Roman" w:eastAsia="Times New Roman" w:hAnsi="Times New Roman" w:cs="Times New Roman"/>
          <w:i/>
          <w:iCs/>
          <w:color w:val="000000"/>
          <w:kern w:val="2"/>
          <w:sz w:val="24"/>
          <w:szCs w:val="24"/>
          <w14:ligatures w14:val="standardContextual"/>
        </w:rPr>
        <w:t>Anesthesiology</w:t>
      </w:r>
      <w:r w:rsidRPr="0012624C">
        <w:rPr>
          <w:rFonts w:ascii="Times New Roman" w:eastAsia="Times New Roman" w:hAnsi="Times New Roman" w:cs="Times New Roman"/>
          <w:color w:val="000000"/>
          <w:kern w:val="2"/>
          <w:sz w:val="24"/>
          <w:szCs w:val="24"/>
          <w14:ligatures w14:val="standardContextual"/>
        </w:rPr>
        <w:t xml:space="preserve">, </w:t>
      </w:r>
      <w:r w:rsidRPr="0012624C">
        <w:rPr>
          <w:rFonts w:ascii="Times New Roman" w:eastAsia="Times New Roman" w:hAnsi="Times New Roman" w:cs="Times New Roman"/>
          <w:i/>
          <w:iCs/>
          <w:color w:val="000000"/>
          <w:kern w:val="2"/>
          <w:sz w:val="24"/>
          <w:szCs w:val="24"/>
          <w14:ligatures w14:val="standardContextual"/>
        </w:rPr>
        <w:t>134</w:t>
      </w:r>
      <w:r w:rsidRPr="0012624C">
        <w:rPr>
          <w:rFonts w:ascii="Times New Roman" w:eastAsia="Times New Roman" w:hAnsi="Times New Roman" w:cs="Times New Roman"/>
          <w:color w:val="000000"/>
          <w:kern w:val="2"/>
          <w:sz w:val="24"/>
          <w:szCs w:val="24"/>
          <w14:ligatures w14:val="standardContextual"/>
        </w:rPr>
        <w:t xml:space="preserve">(5), 697–708. </w:t>
      </w:r>
      <w:hyperlink r:id="rId33">
        <w:r w:rsidRPr="0012624C">
          <w:rPr>
            <w:rFonts w:ascii="Times New Roman" w:eastAsia="Times New Roman" w:hAnsi="Times New Roman" w:cs="Times New Roman"/>
            <w:color w:val="1155CC"/>
            <w:kern w:val="2"/>
            <w:sz w:val="24"/>
            <w:szCs w:val="24"/>
            <w:u w:val="single"/>
            <w14:ligatures w14:val="standardContextual"/>
          </w:rPr>
          <w:t>https://doi.org/10.1097/aln.0000000000003743</w:t>
        </w:r>
      </w:hyperlink>
    </w:p>
    <w:p w14:paraId="28A3D7CD" w14:textId="3F1DF2F3"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Myles, P. S., &amp; Brummett, C. M. (2023). Consideration of methadone as an analgesic option for</w:t>
      </w:r>
      <w:r w:rsidR="005D598F">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lang w:val="en-US"/>
          <w14:ligatures w14:val="standardContextual"/>
        </w:rPr>
        <w:t xml:space="preserve">short-stay surgery. </w:t>
      </w:r>
      <w:r w:rsidRPr="0012624C">
        <w:rPr>
          <w:rFonts w:ascii="Times New Roman" w:eastAsia="Times New Roman" w:hAnsi="Times New Roman" w:cs="Times New Roman"/>
          <w:i/>
          <w:iCs/>
          <w:color w:val="000000"/>
          <w:kern w:val="2"/>
          <w:sz w:val="24"/>
          <w:szCs w:val="24"/>
          <w:lang w:val="en-US"/>
          <w14:ligatures w14:val="standardContextual"/>
        </w:rPr>
        <w:t>Anesthesiology, 139</w:t>
      </w:r>
      <w:r w:rsidRPr="0012624C">
        <w:rPr>
          <w:rFonts w:ascii="Times New Roman" w:eastAsia="Times New Roman" w:hAnsi="Times New Roman" w:cs="Times New Roman"/>
          <w:color w:val="000000"/>
          <w:kern w:val="2"/>
          <w:sz w:val="24"/>
          <w:szCs w:val="24"/>
          <w:lang w:val="en-US"/>
          <w14:ligatures w14:val="standardContextual"/>
        </w:rPr>
        <w:t xml:space="preserve">(4), 374–376. </w:t>
      </w:r>
      <w:hyperlink r:id="rId34" w:history="1">
        <w:r w:rsidRPr="0012624C">
          <w:rPr>
            <w:rFonts w:ascii="Times New Roman" w:eastAsia="Times New Roman" w:hAnsi="Times New Roman" w:cs="Times New Roman"/>
            <w:color w:val="0563C1"/>
            <w:kern w:val="2"/>
            <w:sz w:val="24"/>
            <w:szCs w:val="24"/>
            <w:u w:val="single"/>
            <w:lang w:val="en-US"/>
            <w14:ligatures w14:val="standardContextual"/>
          </w:rPr>
          <w:t>https://doi.org/10.1097/ALN.0000000000004681</w:t>
        </w:r>
      </w:hyperlink>
    </w:p>
    <w:p w14:paraId="309AA96B" w14:textId="77777777" w:rsidR="0012624C" w:rsidRPr="0012624C" w:rsidRDefault="222F068F"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Pontes, J. P., Braz, F. R., </w:t>
      </w:r>
      <w:proofErr w:type="spellStart"/>
      <w:r w:rsidRPr="0012624C">
        <w:rPr>
          <w:rFonts w:ascii="Times New Roman" w:eastAsia="Times New Roman" w:hAnsi="Times New Roman" w:cs="Times New Roman"/>
          <w:color w:val="000000"/>
          <w:kern w:val="2"/>
          <w:sz w:val="24"/>
          <w:szCs w:val="24"/>
          <w:lang w:val="en-US"/>
          <w14:ligatures w14:val="standardContextual"/>
        </w:rPr>
        <w:t>Módolo</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N. S., Mattar, L. A., Sousa, J. A., &amp; Navarro e Lima, L. H. </w:t>
      </w:r>
      <w:r w:rsidRPr="0012624C">
        <w:rPr>
          <w:rFonts w:ascii="Times New Roman" w:eastAsia="Times New Roman" w:hAnsi="Times New Roman" w:cs="Times New Roman"/>
          <w:color w:val="000000"/>
          <w:kern w:val="2"/>
          <w:sz w:val="24"/>
          <w:szCs w:val="24"/>
          <w14:ligatures w14:val="standardContextual"/>
        </w:rPr>
        <w:t>(2021). Intra-operative methadone effect on quality of recovery compared with</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14:ligatures w14:val="standardContextual"/>
        </w:rPr>
        <w:t>morphine following laparoscopic gastroplasty: A randomized controlled trial.</w:t>
      </w:r>
      <w:r w:rsidRPr="0012624C">
        <w:rPr>
          <w:rFonts w:ascii="Times New Roman" w:eastAsia="Times New Roman" w:hAnsi="Times New Roman" w:cs="Times New Roman"/>
          <w:color w:val="000000"/>
          <w:kern w:val="2"/>
          <w:sz w:val="24"/>
          <w:szCs w:val="24"/>
          <w:lang w:val="en-US"/>
          <w14:ligatures w14:val="standardContextual"/>
        </w:rPr>
        <w:t xml:space="preserve"> </w:t>
      </w:r>
      <w:proofErr w:type="spellStart"/>
      <w:r w:rsidRPr="0320F0AF">
        <w:rPr>
          <w:rFonts w:ascii="Times New Roman" w:eastAsia="Times New Roman" w:hAnsi="Times New Roman" w:cs="Times New Roman"/>
          <w:i/>
          <w:iCs/>
          <w:color w:val="000000"/>
          <w:kern w:val="2"/>
          <w:sz w:val="24"/>
          <w:szCs w:val="24"/>
          <w:lang w:val="en-US"/>
          <w14:ligatures w14:val="standardContextual"/>
        </w:rPr>
        <w:t>Anaesthesia</w:t>
      </w:r>
      <w:proofErr w:type="spellEnd"/>
      <w:r w:rsidRPr="0320F0AF">
        <w:rPr>
          <w:rFonts w:ascii="Times New Roman" w:eastAsia="Times New Roman" w:hAnsi="Times New Roman" w:cs="Times New Roman"/>
          <w:i/>
          <w:iCs/>
          <w:color w:val="000000"/>
          <w:kern w:val="2"/>
          <w:sz w:val="24"/>
          <w:szCs w:val="24"/>
          <w:lang w:val="en-US"/>
          <w14:ligatures w14:val="standardContextual"/>
        </w:rPr>
        <w:t>, 76</w:t>
      </w:r>
      <w:r w:rsidRPr="0012624C">
        <w:rPr>
          <w:rFonts w:ascii="Times New Roman" w:eastAsia="Times New Roman" w:hAnsi="Times New Roman" w:cs="Times New Roman"/>
          <w:color w:val="000000"/>
          <w:kern w:val="2"/>
          <w:sz w:val="24"/>
          <w:szCs w:val="24"/>
          <w:lang w:val="en-US"/>
          <w14:ligatures w14:val="standardContextual"/>
        </w:rPr>
        <w:t>(2), 199–208.</w:t>
      </w:r>
      <w:hyperlink r:id="rId35" w:history="1">
        <w:r w:rsidRPr="0012624C">
          <w:rPr>
            <w:rFonts w:ascii="Times New Roman" w:eastAsia="Times New Roman" w:hAnsi="Times New Roman" w:cs="Times New Roman"/>
            <w:color w:val="000000"/>
            <w:kern w:val="2"/>
            <w:sz w:val="24"/>
            <w:szCs w:val="24"/>
            <w:u w:val="single"/>
            <w:lang w:val="en-US"/>
            <w14:ligatures w14:val="standardContextual"/>
          </w:rPr>
          <w:t xml:space="preserve"> </w:t>
        </w:r>
      </w:hyperlink>
      <w:hyperlink r:id="rId36" w:history="1">
        <w:r w:rsidRPr="0012624C">
          <w:rPr>
            <w:rFonts w:ascii="Times New Roman" w:eastAsia="Times New Roman" w:hAnsi="Times New Roman" w:cs="Times New Roman"/>
            <w:color w:val="467886"/>
            <w:kern w:val="2"/>
            <w:sz w:val="24"/>
            <w:szCs w:val="24"/>
            <w:u w:val="single"/>
            <w:lang w:val="en-US"/>
            <w14:ligatures w14:val="standardContextual"/>
          </w:rPr>
          <w:t>https://doi.org/10.1111/anae.15173</w:t>
        </w:r>
      </w:hyperlink>
    </w:p>
    <w:p w14:paraId="51C1CE49" w14:textId="77777777" w:rsidR="0012624C" w:rsidRPr="0012624C" w:rsidRDefault="222F068F" w:rsidP="0012624C">
      <w:pPr>
        <w:spacing w:line="480" w:lineRule="auto"/>
        <w:ind w:left="720" w:hanging="720"/>
        <w:contextualSpacing/>
      </w:pPr>
      <w:r w:rsidRPr="0012624C">
        <w:rPr>
          <w:rFonts w:ascii="Times New Roman" w:eastAsia="Times New Roman" w:hAnsi="Times New Roman" w:cs="Times New Roman"/>
          <w:color w:val="000000"/>
          <w:kern w:val="2"/>
          <w:sz w:val="24"/>
          <w:szCs w:val="24"/>
          <w:lang w:val="en-US"/>
          <w14:ligatures w14:val="standardContextual"/>
        </w:rPr>
        <w:lastRenderedPageBreak/>
        <w:t xml:space="preserve">Rajkovic, C., Vazquez, S., Thomas, Z., </w:t>
      </w:r>
      <w:proofErr w:type="spellStart"/>
      <w:r w:rsidRPr="0012624C">
        <w:rPr>
          <w:rFonts w:ascii="Times New Roman" w:eastAsia="Times New Roman" w:hAnsi="Times New Roman" w:cs="Times New Roman"/>
          <w:color w:val="000000"/>
          <w:kern w:val="2"/>
          <w:sz w:val="24"/>
          <w:szCs w:val="24"/>
          <w:lang w:val="en-US"/>
          <w14:ligatures w14:val="standardContextual"/>
        </w:rPr>
        <w:t>Spirollari</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E., Nolan, B., Marshall, C., Sekhri, N., Siddiqui, A., </w:t>
      </w:r>
      <w:proofErr w:type="spellStart"/>
      <w:r w:rsidRPr="0012624C">
        <w:rPr>
          <w:rFonts w:ascii="Times New Roman" w:eastAsia="Times New Roman" w:hAnsi="Times New Roman" w:cs="Times New Roman"/>
          <w:color w:val="000000"/>
          <w:kern w:val="2"/>
          <w:sz w:val="24"/>
          <w:szCs w:val="24"/>
          <w:lang w:val="en-US"/>
          <w14:ligatures w14:val="standardContextual"/>
        </w:rPr>
        <w:t>Kinon</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M. D., &amp; Wainwright, J. V. (2025). Intraoperative methadone in </w:t>
      </w:r>
      <w:r w:rsidRPr="0012624C">
        <w:rPr>
          <w:rFonts w:ascii="Times New Roman" w:eastAsia="Times New Roman" w:hAnsi="Times New Roman" w:cs="Times New Roman"/>
          <w:color w:val="000000"/>
          <w:kern w:val="2"/>
          <w:sz w:val="24"/>
          <w:szCs w:val="24"/>
          <w14:ligatures w14:val="standardContextual"/>
        </w:rPr>
        <w:t xml:space="preserve">spine surgery ERAS protocols: A systematic review of the literature. </w:t>
      </w:r>
      <w:r w:rsidRPr="0320F0AF">
        <w:rPr>
          <w:rFonts w:ascii="Times New Roman" w:eastAsia="Times New Roman" w:hAnsi="Times New Roman" w:cs="Times New Roman"/>
          <w:i/>
          <w:iCs/>
          <w:color w:val="000000"/>
          <w:kern w:val="2"/>
          <w:sz w:val="24"/>
          <w:szCs w:val="24"/>
          <w14:ligatures w14:val="standardContextual"/>
        </w:rPr>
        <w:t>Clinical Spine</w:t>
      </w:r>
      <w:r w:rsidRPr="0012624C">
        <w:rPr>
          <w:rFonts w:ascii="Times New Roman" w:eastAsia="Times New Roman" w:hAnsi="Times New Roman" w:cs="Times New Roman"/>
          <w:color w:val="000000"/>
          <w:kern w:val="2"/>
          <w:sz w:val="24"/>
          <w:szCs w:val="24"/>
          <w:lang w:val="en-US"/>
          <w14:ligatures w14:val="standardContextual"/>
        </w:rPr>
        <w:t xml:space="preserve"> </w:t>
      </w:r>
      <w:r w:rsidRPr="0320F0AF">
        <w:rPr>
          <w:rFonts w:ascii="Times New Roman" w:eastAsia="Times New Roman" w:hAnsi="Times New Roman" w:cs="Times New Roman"/>
          <w:i/>
          <w:iCs/>
          <w:color w:val="000000"/>
          <w:kern w:val="2"/>
          <w:sz w:val="24"/>
          <w:szCs w:val="24"/>
          <w14:ligatures w14:val="standardContextual"/>
        </w:rPr>
        <w:t>Surgery, 38</w:t>
      </w:r>
      <w:r w:rsidRPr="0012624C">
        <w:rPr>
          <w:rFonts w:ascii="Times New Roman" w:eastAsia="Times New Roman" w:hAnsi="Times New Roman" w:cs="Times New Roman"/>
          <w:color w:val="000000"/>
          <w:kern w:val="2"/>
          <w:sz w:val="24"/>
          <w:szCs w:val="24"/>
          <w14:ligatures w14:val="standardContextual"/>
        </w:rPr>
        <w:t>(6), 280–293.</w:t>
      </w:r>
      <w:hyperlink r:id="rId37" w:history="1">
        <w:r w:rsidRPr="0012624C">
          <w:rPr>
            <w:rFonts w:ascii="Times New Roman" w:eastAsia="Times New Roman" w:hAnsi="Times New Roman" w:cs="Times New Roman"/>
            <w:color w:val="000000"/>
            <w:kern w:val="2"/>
            <w:sz w:val="24"/>
            <w:szCs w:val="24"/>
            <w:u w:val="single"/>
            <w14:ligatures w14:val="standardContextual"/>
          </w:rPr>
          <w:t xml:space="preserve"> </w:t>
        </w:r>
      </w:hyperlink>
      <w:hyperlink r:id="rId38" w:history="1">
        <w:r w:rsidRPr="0012624C">
          <w:rPr>
            <w:rFonts w:ascii="Times New Roman" w:eastAsia="Times New Roman" w:hAnsi="Times New Roman" w:cs="Times New Roman"/>
            <w:color w:val="467886"/>
            <w:kern w:val="2"/>
            <w:sz w:val="24"/>
            <w:szCs w:val="24"/>
            <w:u w:val="single"/>
            <w14:ligatures w14:val="standardContextual"/>
          </w:rPr>
          <w:t>https://doi.org/10.1097/BSD.0000000000001726</w:t>
        </w:r>
      </w:hyperlink>
    </w:p>
    <w:p w14:paraId="5E2A9E4E" w14:textId="2FAE125A" w:rsidR="0012624C" w:rsidRPr="0012624C" w:rsidRDefault="4F626C6D" w:rsidP="0320F0AF">
      <w:pPr>
        <w:spacing w:line="480" w:lineRule="auto"/>
        <w:ind w:left="720" w:hanging="720"/>
        <w:contextualSpacing/>
        <w:rPr>
          <w:rFonts w:ascii="Times New Roman" w:eastAsia="Times New Roman" w:hAnsi="Times New Roman" w:cs="Times New Roman"/>
          <w:color w:val="000000" w:themeColor="text1"/>
          <w:kern w:val="2"/>
          <w:sz w:val="24"/>
          <w:szCs w:val="24"/>
          <w:lang w:val="en-US"/>
          <w14:ligatures w14:val="standardContextual"/>
        </w:rPr>
      </w:pPr>
      <w:r w:rsidRPr="0320F0AF">
        <w:rPr>
          <w:rFonts w:ascii="Times New Roman" w:eastAsia="Times New Roman" w:hAnsi="Times New Roman" w:cs="Times New Roman"/>
          <w:sz w:val="24"/>
          <w:szCs w:val="24"/>
        </w:rPr>
        <w:t>Uhrbrand, C. G., Carlé, N., Valancius, K., Andersen, M. S., Friesgaard, K. D., &amp; Nikolajsen, L. (2025). The effect of intraoperative methadone during spine fusion surgery on postoperative opioid requirements: A randomized clinical trial.</w:t>
      </w:r>
      <w:r w:rsidRPr="0320F0AF">
        <w:rPr>
          <w:rFonts w:ascii="Times New Roman" w:eastAsia="Times New Roman" w:hAnsi="Times New Roman" w:cs="Times New Roman"/>
          <w:color w:val="000000" w:themeColor="text1"/>
          <w:sz w:val="24"/>
          <w:szCs w:val="24"/>
        </w:rPr>
        <w:t xml:space="preserve"> </w:t>
      </w:r>
      <w:r w:rsidRPr="0320F0AF">
        <w:rPr>
          <w:rFonts w:ascii="Times New Roman" w:eastAsia="Times New Roman" w:hAnsi="Times New Roman" w:cs="Times New Roman"/>
          <w:i/>
          <w:iCs/>
          <w:color w:val="000000" w:themeColor="text1"/>
          <w:sz w:val="24"/>
          <w:szCs w:val="24"/>
        </w:rPr>
        <w:t>Spine, 50</w:t>
      </w:r>
      <w:r w:rsidRPr="0320F0AF">
        <w:rPr>
          <w:rFonts w:ascii="Times New Roman" w:eastAsia="Times New Roman" w:hAnsi="Times New Roman" w:cs="Times New Roman"/>
          <w:color w:val="000000" w:themeColor="text1"/>
          <w:sz w:val="24"/>
          <w:szCs w:val="24"/>
        </w:rPr>
        <w:t>(21), 1459</w:t>
      </w:r>
      <w:r w:rsidRPr="0320F0AF">
        <w:rPr>
          <w:rFonts w:ascii="Times New Roman" w:eastAsia="Times New Roman" w:hAnsi="Times New Roman" w:cs="Times New Roman"/>
          <w:color w:val="000000" w:themeColor="text1"/>
          <w:sz w:val="24"/>
          <w:szCs w:val="24"/>
          <w:lang w:val="en-US"/>
        </w:rPr>
        <w:t>–14</w:t>
      </w:r>
      <w:r w:rsidR="6C5184E3" w:rsidRPr="0320F0AF">
        <w:rPr>
          <w:rFonts w:ascii="Times New Roman" w:eastAsia="Times New Roman" w:hAnsi="Times New Roman" w:cs="Times New Roman"/>
          <w:color w:val="000000" w:themeColor="text1"/>
          <w:sz w:val="24"/>
          <w:szCs w:val="24"/>
          <w:lang w:val="en-US"/>
        </w:rPr>
        <w:t>6</w:t>
      </w:r>
      <w:r w:rsidRPr="0320F0AF">
        <w:rPr>
          <w:rFonts w:ascii="Times New Roman" w:eastAsia="Times New Roman" w:hAnsi="Times New Roman" w:cs="Times New Roman"/>
          <w:color w:val="000000" w:themeColor="text1"/>
          <w:sz w:val="24"/>
          <w:szCs w:val="24"/>
          <w:lang w:val="en-US"/>
        </w:rPr>
        <w:t>6</w:t>
      </w:r>
      <w:r w:rsidRPr="0320F0AF">
        <w:rPr>
          <w:rFonts w:ascii="Times New Roman" w:eastAsia="Times New Roman" w:hAnsi="Times New Roman" w:cs="Times New Roman"/>
          <w:color w:val="000000" w:themeColor="text1"/>
          <w:sz w:val="24"/>
          <w:szCs w:val="24"/>
        </w:rPr>
        <w:t>.</w:t>
      </w:r>
      <w:r w:rsidRPr="0320F0AF">
        <w:rPr>
          <w:rFonts w:ascii="Times New Roman" w:eastAsia="Times New Roman" w:hAnsi="Times New Roman" w:cs="Times New Roman"/>
          <w:color w:val="000000" w:themeColor="text1"/>
          <w:sz w:val="24"/>
          <w:szCs w:val="24"/>
          <w:lang w:val="en-US"/>
        </w:rPr>
        <w:t xml:space="preserve"> </w:t>
      </w:r>
      <w:hyperlink r:id="rId39">
        <w:r w:rsidRPr="0320F0AF">
          <w:rPr>
            <w:rStyle w:val="Hyperlink"/>
            <w:rFonts w:ascii="Times New Roman" w:eastAsia="Times New Roman" w:hAnsi="Times New Roman" w:cs="Times New Roman"/>
            <w:sz w:val="24"/>
            <w:szCs w:val="24"/>
            <w:lang w:val="en-US"/>
          </w:rPr>
          <w:t>https://doi.org/10.1097/BRS.0000000000005477</w:t>
        </w:r>
      </w:hyperlink>
    </w:p>
    <w:p w14:paraId="0E08D39F"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lang w:val="en-US"/>
          <w14:ligatures w14:val="standardContextual"/>
        </w:rPr>
        <w:t xml:space="preserve">Whittemore, R., &amp; </w:t>
      </w:r>
      <w:proofErr w:type="spellStart"/>
      <w:r w:rsidRPr="0012624C">
        <w:rPr>
          <w:rFonts w:ascii="Times New Roman" w:eastAsia="Times New Roman" w:hAnsi="Times New Roman" w:cs="Times New Roman"/>
          <w:color w:val="000000"/>
          <w:kern w:val="2"/>
          <w:sz w:val="24"/>
          <w:szCs w:val="24"/>
          <w:lang w:val="en-US"/>
          <w14:ligatures w14:val="standardContextual"/>
        </w:rPr>
        <w:t>Knafl</w:t>
      </w:r>
      <w:proofErr w:type="spellEnd"/>
      <w:r w:rsidRPr="0012624C">
        <w:rPr>
          <w:rFonts w:ascii="Times New Roman" w:eastAsia="Times New Roman" w:hAnsi="Times New Roman" w:cs="Times New Roman"/>
          <w:color w:val="000000"/>
          <w:kern w:val="2"/>
          <w:sz w:val="24"/>
          <w:szCs w:val="24"/>
          <w:lang w:val="en-US"/>
          <w14:ligatures w14:val="standardContextual"/>
        </w:rPr>
        <w:t xml:space="preserve">, K. (2005). The integrative review: Updated methodology. </w:t>
      </w:r>
      <w:r w:rsidRPr="0012624C">
        <w:rPr>
          <w:rFonts w:ascii="Times New Roman" w:eastAsia="Times New Roman" w:hAnsi="Times New Roman" w:cs="Times New Roman"/>
          <w:i/>
          <w:iCs/>
          <w:color w:val="000000"/>
          <w:kern w:val="2"/>
          <w:sz w:val="24"/>
          <w:szCs w:val="24"/>
          <w:lang w:val="en-US"/>
          <w14:ligatures w14:val="standardContextual"/>
        </w:rPr>
        <w:t>Journal of Advanced Nursing, 52</w:t>
      </w:r>
      <w:r w:rsidRPr="0012624C">
        <w:rPr>
          <w:rFonts w:ascii="Times New Roman" w:eastAsia="Times New Roman" w:hAnsi="Times New Roman" w:cs="Times New Roman"/>
          <w:color w:val="000000"/>
          <w:kern w:val="2"/>
          <w:sz w:val="24"/>
          <w:szCs w:val="24"/>
          <w:lang w:val="en-US"/>
          <w14:ligatures w14:val="standardContextual"/>
        </w:rPr>
        <w:t>(5), 546–553.</w:t>
      </w:r>
      <w:hyperlink r:id="rId40">
        <w:r w:rsidRPr="0012624C">
          <w:rPr>
            <w:rFonts w:ascii="Times New Roman" w:eastAsia="Times New Roman" w:hAnsi="Times New Roman" w:cs="Times New Roman"/>
            <w:color w:val="000000"/>
            <w:kern w:val="2"/>
            <w:sz w:val="24"/>
            <w:szCs w:val="24"/>
            <w:u w:val="single"/>
            <w:lang w:val="en-US"/>
            <w14:ligatures w14:val="standardContextual"/>
          </w:rPr>
          <w:t xml:space="preserve"> </w:t>
        </w:r>
      </w:hyperlink>
      <w:hyperlink r:id="rId41">
        <w:r w:rsidRPr="0012624C">
          <w:rPr>
            <w:rFonts w:ascii="Times New Roman" w:eastAsia="Times New Roman" w:hAnsi="Times New Roman" w:cs="Times New Roman"/>
            <w:color w:val="1155CC"/>
            <w:kern w:val="2"/>
            <w:sz w:val="24"/>
            <w:szCs w:val="24"/>
            <w:u w:val="single"/>
            <w:lang w:val="en-US"/>
            <w14:ligatures w14:val="standardContextual"/>
          </w:rPr>
          <w:t>https://doi.org/10.1111/j.1365-2648.2005.03621.x</w:t>
        </w:r>
      </w:hyperlink>
    </w:p>
    <w:p w14:paraId="03AB3DD4" w14:textId="77777777" w:rsidR="0012624C" w:rsidRPr="0012624C" w:rsidRDefault="0012624C" w:rsidP="0012624C">
      <w:pPr>
        <w:spacing w:line="480" w:lineRule="auto"/>
        <w:ind w:left="720" w:hanging="720"/>
        <w:contextualSpacing/>
        <w:rPr>
          <w:rFonts w:ascii="Times New Roman" w:eastAsia="Times New Roman" w:hAnsi="Times New Roman" w:cs="Times New Roman"/>
          <w:color w:val="000000"/>
          <w:kern w:val="2"/>
          <w:sz w:val="24"/>
          <w:szCs w:val="24"/>
          <w:lang w:val="en-US"/>
          <w14:ligatures w14:val="standardContextual"/>
        </w:rPr>
      </w:pPr>
      <w:r w:rsidRPr="0012624C">
        <w:rPr>
          <w:rFonts w:ascii="Times New Roman" w:eastAsia="Times New Roman" w:hAnsi="Times New Roman" w:cs="Times New Roman"/>
          <w:color w:val="000000"/>
          <w:kern w:val="2"/>
          <w:sz w:val="24"/>
          <w:szCs w:val="24"/>
          <w14:ligatures w14:val="standardContextual"/>
        </w:rPr>
        <w:t>Xie, J., Pan, S. J., &amp; Anderson, T. A. (2025). A comprehensive update on intraoperative</w:t>
      </w:r>
      <w:r w:rsidRPr="0012624C">
        <w:rPr>
          <w:rFonts w:ascii="Times New Roman" w:eastAsia="Times New Roman" w:hAnsi="Times New Roman" w:cs="Times New Roman"/>
          <w:color w:val="000000"/>
          <w:kern w:val="2"/>
          <w:sz w:val="24"/>
          <w:szCs w:val="24"/>
          <w:lang w:val="en-US"/>
          <w14:ligatures w14:val="standardContextual"/>
        </w:rPr>
        <w:t xml:space="preserve"> </w:t>
      </w:r>
      <w:r w:rsidRPr="0012624C">
        <w:rPr>
          <w:rFonts w:ascii="Times New Roman" w:eastAsia="Times New Roman" w:hAnsi="Times New Roman" w:cs="Times New Roman"/>
          <w:color w:val="000000"/>
          <w:kern w:val="2"/>
          <w:sz w:val="24"/>
          <w:szCs w:val="24"/>
          <w14:ligatures w14:val="standardContextual"/>
        </w:rPr>
        <w:t xml:space="preserve">methadone use. </w:t>
      </w:r>
      <w:r w:rsidRPr="0012624C">
        <w:rPr>
          <w:rFonts w:ascii="Times New Roman" w:eastAsia="Times New Roman" w:hAnsi="Times New Roman" w:cs="Times New Roman"/>
          <w:i/>
          <w:iCs/>
          <w:color w:val="000000"/>
          <w:kern w:val="2"/>
          <w:sz w:val="24"/>
          <w:szCs w:val="24"/>
          <w14:ligatures w14:val="standardContextual"/>
        </w:rPr>
        <w:t>Anesthesiology, 143</w:t>
      </w:r>
      <w:r w:rsidRPr="0012624C">
        <w:rPr>
          <w:rFonts w:ascii="Times New Roman" w:eastAsia="Times New Roman" w:hAnsi="Times New Roman" w:cs="Times New Roman"/>
          <w:color w:val="000000"/>
          <w:kern w:val="2"/>
          <w:sz w:val="24"/>
          <w:szCs w:val="24"/>
          <w14:ligatures w14:val="standardContextual"/>
        </w:rPr>
        <w:t>(3), 710</w:t>
      </w:r>
      <w:r w:rsidRPr="0012624C">
        <w:rPr>
          <w:rFonts w:ascii="Times New Roman" w:eastAsia="Times New Roman" w:hAnsi="Times New Roman" w:cs="Times New Roman"/>
          <w:color w:val="000000"/>
          <w:kern w:val="2"/>
          <w:sz w:val="24"/>
          <w:szCs w:val="24"/>
          <w:lang w:val="en-US"/>
          <w14:ligatures w14:val="standardContextual"/>
        </w:rPr>
        <w:t>–</w:t>
      </w:r>
      <w:r w:rsidRPr="0012624C">
        <w:rPr>
          <w:rFonts w:ascii="Times New Roman" w:eastAsia="Times New Roman" w:hAnsi="Times New Roman" w:cs="Times New Roman"/>
          <w:color w:val="000000"/>
          <w:kern w:val="2"/>
          <w:sz w:val="24"/>
          <w:szCs w:val="24"/>
          <w14:ligatures w14:val="standardContextual"/>
        </w:rPr>
        <w:t>736.</w:t>
      </w:r>
      <w:r w:rsidRPr="0012624C">
        <w:rPr>
          <w:rFonts w:ascii="Times New Roman" w:eastAsia="Times New Roman" w:hAnsi="Times New Roman" w:cs="Times New Roman"/>
          <w:color w:val="000000"/>
          <w:kern w:val="2"/>
          <w:sz w:val="24"/>
          <w:szCs w:val="24"/>
          <w:lang w:val="en-US"/>
          <w14:ligatures w14:val="standardContextual"/>
        </w:rPr>
        <w:t xml:space="preserve"> </w:t>
      </w:r>
      <w:hyperlink r:id="rId42" w:history="1">
        <w:r w:rsidRPr="0012624C">
          <w:rPr>
            <w:rFonts w:ascii="Times New Roman" w:eastAsia="Times New Roman" w:hAnsi="Times New Roman" w:cs="Times New Roman"/>
            <w:color w:val="0563C1"/>
            <w:kern w:val="2"/>
            <w:sz w:val="24"/>
            <w:szCs w:val="24"/>
            <w:u w:val="single"/>
            <w:lang w:val="en-US"/>
            <w14:ligatures w14:val="standardContextual"/>
          </w:rPr>
          <w:t>https://doi.org/10.1097/ALN.0000000000005550</w:t>
        </w:r>
      </w:hyperlink>
    </w:p>
    <w:p w14:paraId="52769339" w14:textId="77777777" w:rsidR="00DC5644" w:rsidRDefault="00DC5644">
      <w:r>
        <w:br w:type="page"/>
      </w:r>
    </w:p>
    <w:p w14:paraId="7B834BD3" w14:textId="648B0928" w:rsidR="00DC5644" w:rsidRDefault="2952FC8A" w:rsidP="00DC5644">
      <w:pPr>
        <w:spacing w:line="480" w:lineRule="auto"/>
        <w:contextualSpacing/>
        <w:jc w:val="center"/>
        <w:rPr>
          <w:rFonts w:ascii="Times New Roman" w:eastAsia="Times New Roman" w:hAnsi="Times New Roman" w:cs="Times New Roman"/>
          <w:b/>
          <w:bCs/>
          <w:sz w:val="24"/>
          <w:szCs w:val="24"/>
        </w:rPr>
      </w:pPr>
      <w:r w:rsidRPr="1193C325">
        <w:rPr>
          <w:rFonts w:ascii="Times New Roman" w:eastAsia="Times New Roman" w:hAnsi="Times New Roman" w:cs="Times New Roman"/>
          <w:b/>
          <w:bCs/>
          <w:sz w:val="24"/>
          <w:szCs w:val="24"/>
        </w:rPr>
        <w:lastRenderedPageBreak/>
        <w:t>Appendix</w:t>
      </w:r>
      <w:r w:rsidR="00EC299C">
        <w:rPr>
          <w:rFonts w:ascii="Times New Roman" w:eastAsia="Times New Roman" w:hAnsi="Times New Roman" w:cs="Times New Roman"/>
          <w:b/>
          <w:bCs/>
          <w:sz w:val="24"/>
          <w:szCs w:val="24"/>
        </w:rPr>
        <w:t xml:space="preserve"> A</w:t>
      </w:r>
    </w:p>
    <w:p w14:paraId="5DAF7EC8" w14:textId="04C7AEA3" w:rsidR="00DC5644" w:rsidRDefault="00DC5644" w:rsidP="00DC5644">
      <w:pPr>
        <w:spacing w:line="480" w:lineRule="auto"/>
        <w:contextualSpacing/>
        <w:jc w:val="center"/>
        <w:rPr>
          <w:rFonts w:ascii="Times New Roman" w:eastAsia="Times New Roman" w:hAnsi="Times New Roman" w:cs="Times New Roman"/>
          <w:b/>
          <w:bCs/>
          <w:sz w:val="24"/>
          <w:szCs w:val="24"/>
        </w:rPr>
      </w:pPr>
      <w:r w:rsidRPr="00DC5644">
        <w:rPr>
          <w:rFonts w:ascii="Times New Roman" w:eastAsia="Times New Roman" w:hAnsi="Times New Roman" w:cs="Times New Roman"/>
          <w:b/>
          <w:bCs/>
          <w:sz w:val="24"/>
          <w:szCs w:val="24"/>
        </w:rPr>
        <w:t>PowerPoint Presentation: Intraoperative Methadone for Postoperative Pain Management</w:t>
      </w:r>
    </w:p>
    <w:p w14:paraId="742150C6" w14:textId="13791B7C" w:rsidR="00DC5644" w:rsidRPr="00DC5644" w:rsidRDefault="0079621E" w:rsidP="00DC5644">
      <w:pPr>
        <w:spacing w:line="480" w:lineRule="auto"/>
        <w:contextualSpacing/>
        <w:jc w:val="center"/>
        <w:rPr>
          <w:rFonts w:ascii="Times New Roman" w:eastAsia="Times New Roman" w:hAnsi="Times New Roman" w:cs="Times New Roman"/>
          <w:sz w:val="24"/>
          <w:szCs w:val="24"/>
        </w:rPr>
      </w:pPr>
      <w:r>
        <w:rPr>
          <w:noProof/>
        </w:rPr>
        <w:drawing>
          <wp:anchor distT="0" distB="0" distL="114300" distR="114300" simplePos="0" relativeHeight="251677696" behindDoc="0" locked="0" layoutInCell="1" allowOverlap="1" wp14:anchorId="011ED2C8" wp14:editId="10229B8A">
            <wp:simplePos x="0" y="0"/>
            <wp:positionH relativeFrom="column">
              <wp:posOffset>29210</wp:posOffset>
            </wp:positionH>
            <wp:positionV relativeFrom="paragraph">
              <wp:posOffset>365760</wp:posOffset>
            </wp:positionV>
            <wp:extent cx="5884545" cy="3309620"/>
            <wp:effectExtent l="0" t="0" r="1905" b="5080"/>
            <wp:wrapTight wrapText="bothSides">
              <wp:wrapPolygon edited="0">
                <wp:start x="0" y="0"/>
                <wp:lineTo x="0" y="21509"/>
                <wp:lineTo x="21537" y="21509"/>
                <wp:lineTo x="21537" y="0"/>
                <wp:lineTo x="0" y="0"/>
              </wp:wrapPolygon>
            </wp:wrapTight>
            <wp:docPr id="16829989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98993"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884545" cy="3309620"/>
                    </a:xfrm>
                    <a:prstGeom prst="rect">
                      <a:avLst/>
                    </a:prstGeom>
                  </pic:spPr>
                </pic:pic>
              </a:graphicData>
            </a:graphic>
            <wp14:sizeRelH relativeFrom="margin">
              <wp14:pctWidth>0</wp14:pctWidth>
            </wp14:sizeRelH>
            <wp14:sizeRelV relativeFrom="margin">
              <wp14:pctHeight>0</wp14:pctHeight>
            </wp14:sizeRelV>
          </wp:anchor>
        </w:drawing>
      </w:r>
      <w:r w:rsidR="004A0C8C">
        <w:rPr>
          <w:noProof/>
        </w:rPr>
        <w:drawing>
          <wp:anchor distT="0" distB="0" distL="114300" distR="114300" simplePos="0" relativeHeight="251679744" behindDoc="0" locked="0" layoutInCell="1" allowOverlap="1" wp14:anchorId="58AD4EC0" wp14:editId="28202516">
            <wp:simplePos x="0" y="0"/>
            <wp:positionH relativeFrom="margin">
              <wp:align>right</wp:align>
            </wp:positionH>
            <wp:positionV relativeFrom="paragraph">
              <wp:posOffset>3735263</wp:posOffset>
            </wp:positionV>
            <wp:extent cx="5943600" cy="3343275"/>
            <wp:effectExtent l="0" t="0" r="0" b="9525"/>
            <wp:wrapTight wrapText="bothSides">
              <wp:wrapPolygon edited="0">
                <wp:start x="0" y="0"/>
                <wp:lineTo x="0" y="21538"/>
                <wp:lineTo x="21531" y="21538"/>
                <wp:lineTo x="21531" y="0"/>
                <wp:lineTo x="0" y="0"/>
              </wp:wrapPolygon>
            </wp:wrapTight>
            <wp:docPr id="17894138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13802"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943600" cy="3343275"/>
                    </a:xfrm>
                    <a:prstGeom prst="rect">
                      <a:avLst/>
                    </a:prstGeom>
                  </pic:spPr>
                </pic:pic>
              </a:graphicData>
            </a:graphic>
          </wp:anchor>
        </w:drawing>
      </w:r>
    </w:p>
    <w:p w14:paraId="62D60F6C" w14:textId="77777777" w:rsidR="004A0C8C" w:rsidRDefault="004A0C8C" w:rsidP="619A24EA">
      <w:pPr>
        <w:spacing w:line="480" w:lineRule="auto"/>
        <w:ind w:left="720" w:hanging="720"/>
        <w:contextualSpacing/>
        <w:jc w:val="center"/>
        <w:rPr>
          <w:noProof/>
        </w:rPr>
      </w:pPr>
    </w:p>
    <w:p w14:paraId="69AFE474" w14:textId="4658B588" w:rsidR="619A24EA" w:rsidRDefault="004A0C8C" w:rsidP="619A24EA">
      <w:pPr>
        <w:spacing w:line="480" w:lineRule="auto"/>
        <w:ind w:left="720" w:hanging="720"/>
        <w:contextualSpacing/>
        <w:jc w:val="center"/>
        <w:rPr>
          <w:rFonts w:ascii="Times New Roman" w:eastAsia="Times New Roman" w:hAnsi="Times New Roman" w:cs="Times New Roman"/>
          <w:sz w:val="24"/>
          <w:szCs w:val="24"/>
        </w:rPr>
      </w:pPr>
      <w:r>
        <w:rPr>
          <w:noProof/>
        </w:rPr>
        <w:lastRenderedPageBreak/>
        <w:drawing>
          <wp:anchor distT="0" distB="0" distL="114300" distR="114300" simplePos="0" relativeHeight="251681792" behindDoc="0" locked="0" layoutInCell="1" allowOverlap="1" wp14:anchorId="1F5D7052" wp14:editId="2788FA58">
            <wp:simplePos x="0" y="0"/>
            <wp:positionH relativeFrom="margin">
              <wp:posOffset>148856</wp:posOffset>
            </wp:positionH>
            <wp:positionV relativeFrom="paragraph">
              <wp:posOffset>281</wp:posOffset>
            </wp:positionV>
            <wp:extent cx="6148705" cy="3458210"/>
            <wp:effectExtent l="0" t="0" r="4445" b="8890"/>
            <wp:wrapTight wrapText="bothSides">
              <wp:wrapPolygon edited="0">
                <wp:start x="0" y="0"/>
                <wp:lineTo x="0" y="21537"/>
                <wp:lineTo x="21549" y="21537"/>
                <wp:lineTo x="21549" y="0"/>
                <wp:lineTo x="0" y="0"/>
              </wp:wrapPolygon>
            </wp:wrapTight>
            <wp:docPr id="1109788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88834"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6148705" cy="3458210"/>
                    </a:xfrm>
                    <a:prstGeom prst="rect">
                      <a:avLst/>
                    </a:prstGeom>
                  </pic:spPr>
                </pic:pic>
              </a:graphicData>
            </a:graphic>
            <wp14:sizeRelH relativeFrom="margin">
              <wp14:pctWidth>0</wp14:pctWidth>
            </wp14:sizeRelH>
            <wp14:sizeRelV relativeFrom="margin">
              <wp14:pctHeight>0</wp14:pctHeight>
            </wp14:sizeRelV>
          </wp:anchor>
        </w:drawing>
      </w:r>
    </w:p>
    <w:p w14:paraId="58C1B738" w14:textId="0383CDAC" w:rsidR="004A0C8C" w:rsidRPr="004A0C8C" w:rsidRDefault="004A0C8C" w:rsidP="004A0C8C">
      <w:pPr>
        <w:rPr>
          <w:rFonts w:ascii="Times New Roman" w:eastAsia="Times New Roman" w:hAnsi="Times New Roman" w:cs="Times New Roman"/>
          <w:sz w:val="24"/>
          <w:szCs w:val="24"/>
        </w:rPr>
      </w:pPr>
    </w:p>
    <w:p w14:paraId="64325607" w14:textId="77777777" w:rsidR="004A0C8C" w:rsidRPr="004A0C8C" w:rsidRDefault="004A0C8C" w:rsidP="004A0C8C">
      <w:pPr>
        <w:rPr>
          <w:rFonts w:ascii="Times New Roman" w:eastAsia="Times New Roman" w:hAnsi="Times New Roman" w:cs="Times New Roman"/>
          <w:sz w:val="24"/>
          <w:szCs w:val="24"/>
        </w:rPr>
      </w:pPr>
    </w:p>
    <w:p w14:paraId="021849B2" w14:textId="6AF6DF71" w:rsidR="004A0C8C" w:rsidRPr="004A0C8C" w:rsidRDefault="004A0C8C" w:rsidP="004A0C8C">
      <w:pPr>
        <w:jc w:val="center"/>
        <w:rPr>
          <w:rFonts w:ascii="Times New Roman" w:eastAsia="Times New Roman" w:hAnsi="Times New Roman" w:cs="Times New Roman"/>
          <w:sz w:val="24"/>
          <w:szCs w:val="24"/>
        </w:rPr>
      </w:pPr>
      <w:r>
        <w:rPr>
          <w:noProof/>
        </w:rPr>
        <w:drawing>
          <wp:anchor distT="0" distB="0" distL="114300" distR="114300" simplePos="0" relativeHeight="251683840" behindDoc="0" locked="0" layoutInCell="1" allowOverlap="1" wp14:anchorId="4253E4D7" wp14:editId="0592D3DA">
            <wp:simplePos x="0" y="0"/>
            <wp:positionH relativeFrom="column">
              <wp:posOffset>0</wp:posOffset>
            </wp:positionH>
            <wp:positionV relativeFrom="paragraph">
              <wp:posOffset>198755</wp:posOffset>
            </wp:positionV>
            <wp:extent cx="5943600" cy="3343275"/>
            <wp:effectExtent l="0" t="0" r="0" b="9525"/>
            <wp:wrapTight wrapText="bothSides">
              <wp:wrapPolygon edited="0">
                <wp:start x="0" y="0"/>
                <wp:lineTo x="0" y="21538"/>
                <wp:lineTo x="21531" y="21538"/>
                <wp:lineTo x="21531" y="0"/>
                <wp:lineTo x="0" y="0"/>
              </wp:wrapPolygon>
            </wp:wrapTight>
            <wp:docPr id="19184534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53414"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5943600" cy="3343275"/>
                    </a:xfrm>
                    <a:prstGeom prst="rect">
                      <a:avLst/>
                    </a:prstGeom>
                  </pic:spPr>
                </pic:pic>
              </a:graphicData>
            </a:graphic>
          </wp:anchor>
        </w:drawing>
      </w:r>
    </w:p>
    <w:p w14:paraId="595FF5B8" w14:textId="23620417" w:rsidR="004A0C8C" w:rsidRPr="004A0C8C" w:rsidRDefault="004A0C8C" w:rsidP="004A0C8C">
      <w:pPr>
        <w:rPr>
          <w:rFonts w:ascii="Times New Roman" w:eastAsia="Times New Roman" w:hAnsi="Times New Roman" w:cs="Times New Roman"/>
          <w:sz w:val="24"/>
          <w:szCs w:val="24"/>
        </w:rPr>
      </w:pPr>
    </w:p>
    <w:p w14:paraId="49305792" w14:textId="7F78EB3D" w:rsidR="004A0C8C" w:rsidRPr="004A0C8C" w:rsidRDefault="004A0C8C" w:rsidP="004A0C8C">
      <w:pPr>
        <w:rPr>
          <w:rFonts w:ascii="Times New Roman" w:eastAsia="Times New Roman" w:hAnsi="Times New Roman" w:cs="Times New Roman"/>
          <w:sz w:val="24"/>
          <w:szCs w:val="24"/>
        </w:rPr>
      </w:pPr>
      <w:r>
        <w:rPr>
          <w:noProof/>
        </w:rPr>
        <w:lastRenderedPageBreak/>
        <w:drawing>
          <wp:anchor distT="0" distB="0" distL="114300" distR="114300" simplePos="0" relativeHeight="251685888" behindDoc="0" locked="0" layoutInCell="1" allowOverlap="1" wp14:anchorId="1F9A1556" wp14:editId="64560763">
            <wp:simplePos x="0" y="0"/>
            <wp:positionH relativeFrom="column">
              <wp:posOffset>49190</wp:posOffset>
            </wp:positionH>
            <wp:positionV relativeFrom="paragraph">
              <wp:posOffset>487</wp:posOffset>
            </wp:positionV>
            <wp:extent cx="5943600" cy="3343275"/>
            <wp:effectExtent l="0" t="0" r="0" b="9525"/>
            <wp:wrapTight wrapText="bothSides">
              <wp:wrapPolygon edited="0">
                <wp:start x="0" y="0"/>
                <wp:lineTo x="0" y="21538"/>
                <wp:lineTo x="21531" y="21538"/>
                <wp:lineTo x="21531" y="0"/>
                <wp:lineTo x="0" y="0"/>
              </wp:wrapPolygon>
            </wp:wrapTight>
            <wp:docPr id="9566584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58456"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5943600" cy="3343275"/>
                    </a:xfrm>
                    <a:prstGeom prst="rect">
                      <a:avLst/>
                    </a:prstGeom>
                  </pic:spPr>
                </pic:pic>
              </a:graphicData>
            </a:graphic>
          </wp:anchor>
        </w:drawing>
      </w:r>
    </w:p>
    <w:p w14:paraId="313DCBE4" w14:textId="5CF70FF6" w:rsidR="004A0C8C" w:rsidRPr="004A0C8C" w:rsidRDefault="004A0C8C" w:rsidP="004A0C8C">
      <w:pPr>
        <w:rPr>
          <w:rFonts w:ascii="Times New Roman" w:eastAsia="Times New Roman" w:hAnsi="Times New Roman" w:cs="Times New Roman"/>
          <w:sz w:val="24"/>
          <w:szCs w:val="24"/>
        </w:rPr>
      </w:pPr>
      <w:r>
        <w:rPr>
          <w:noProof/>
        </w:rPr>
        <w:drawing>
          <wp:anchor distT="0" distB="0" distL="114300" distR="114300" simplePos="0" relativeHeight="251687936" behindDoc="0" locked="0" layoutInCell="1" allowOverlap="1" wp14:anchorId="167225B8" wp14:editId="74E5A7B2">
            <wp:simplePos x="0" y="0"/>
            <wp:positionH relativeFrom="column">
              <wp:posOffset>0</wp:posOffset>
            </wp:positionH>
            <wp:positionV relativeFrom="paragraph">
              <wp:posOffset>201295</wp:posOffset>
            </wp:positionV>
            <wp:extent cx="5943600" cy="3343275"/>
            <wp:effectExtent l="0" t="0" r="0" b="9525"/>
            <wp:wrapTight wrapText="bothSides">
              <wp:wrapPolygon edited="0">
                <wp:start x="0" y="0"/>
                <wp:lineTo x="0" y="21538"/>
                <wp:lineTo x="21531" y="21538"/>
                <wp:lineTo x="21531" y="0"/>
                <wp:lineTo x="0" y="0"/>
              </wp:wrapPolygon>
            </wp:wrapTight>
            <wp:docPr id="13017466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6665"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943600" cy="3343275"/>
                    </a:xfrm>
                    <a:prstGeom prst="rect">
                      <a:avLst/>
                    </a:prstGeom>
                  </pic:spPr>
                </pic:pic>
              </a:graphicData>
            </a:graphic>
          </wp:anchor>
        </w:drawing>
      </w:r>
    </w:p>
    <w:p w14:paraId="311FA0D9" w14:textId="2C952A88" w:rsidR="004A0C8C" w:rsidRPr="004A0C8C" w:rsidRDefault="004A0C8C" w:rsidP="004A0C8C">
      <w:pPr>
        <w:rPr>
          <w:rFonts w:ascii="Times New Roman" w:eastAsia="Times New Roman" w:hAnsi="Times New Roman" w:cs="Times New Roman"/>
          <w:sz w:val="24"/>
          <w:szCs w:val="24"/>
        </w:rPr>
      </w:pPr>
    </w:p>
    <w:p w14:paraId="015C603B" w14:textId="77777777" w:rsidR="004A0C8C" w:rsidRPr="004A0C8C" w:rsidRDefault="004A0C8C" w:rsidP="004A0C8C">
      <w:pPr>
        <w:rPr>
          <w:rFonts w:ascii="Times New Roman" w:eastAsia="Times New Roman" w:hAnsi="Times New Roman" w:cs="Times New Roman"/>
          <w:sz w:val="24"/>
          <w:szCs w:val="24"/>
        </w:rPr>
      </w:pPr>
    </w:p>
    <w:p w14:paraId="073711B8" w14:textId="2EBC58A8" w:rsidR="004A0C8C" w:rsidRPr="004A0C8C" w:rsidRDefault="004A0C8C" w:rsidP="004A0C8C">
      <w:pPr>
        <w:rPr>
          <w:rFonts w:ascii="Times New Roman" w:eastAsia="Times New Roman" w:hAnsi="Times New Roman" w:cs="Times New Roman"/>
          <w:sz w:val="24"/>
          <w:szCs w:val="24"/>
        </w:rPr>
      </w:pPr>
    </w:p>
    <w:p w14:paraId="763527F2" w14:textId="3F5CD72D" w:rsidR="004A0C8C" w:rsidRPr="004A0C8C" w:rsidRDefault="004A0C8C" w:rsidP="004A0C8C">
      <w:pPr>
        <w:rPr>
          <w:rFonts w:ascii="Times New Roman" w:eastAsia="Times New Roman" w:hAnsi="Times New Roman" w:cs="Times New Roman"/>
          <w:sz w:val="24"/>
          <w:szCs w:val="24"/>
        </w:rPr>
      </w:pPr>
    </w:p>
    <w:p w14:paraId="7264C5EA" w14:textId="23F5FA34" w:rsidR="004A0C8C" w:rsidRPr="004A0C8C" w:rsidRDefault="004A0C8C" w:rsidP="004A0C8C">
      <w:pPr>
        <w:rPr>
          <w:rFonts w:ascii="Times New Roman" w:eastAsia="Times New Roman" w:hAnsi="Times New Roman" w:cs="Times New Roman"/>
          <w:sz w:val="24"/>
          <w:szCs w:val="24"/>
        </w:rPr>
      </w:pPr>
      <w:r>
        <w:rPr>
          <w:noProof/>
        </w:rPr>
        <w:drawing>
          <wp:anchor distT="0" distB="0" distL="114300" distR="114300" simplePos="0" relativeHeight="251689984" behindDoc="0" locked="0" layoutInCell="1" allowOverlap="1" wp14:anchorId="16CDC61E" wp14:editId="3164EBF0">
            <wp:simplePos x="0" y="0"/>
            <wp:positionH relativeFrom="column">
              <wp:posOffset>116810</wp:posOffset>
            </wp:positionH>
            <wp:positionV relativeFrom="paragraph">
              <wp:posOffset>-561</wp:posOffset>
            </wp:positionV>
            <wp:extent cx="5943600" cy="3343275"/>
            <wp:effectExtent l="0" t="0" r="0" b="9525"/>
            <wp:wrapTight wrapText="bothSides">
              <wp:wrapPolygon edited="0">
                <wp:start x="0" y="0"/>
                <wp:lineTo x="0" y="21538"/>
                <wp:lineTo x="21531" y="21538"/>
                <wp:lineTo x="21531" y="0"/>
                <wp:lineTo x="0" y="0"/>
              </wp:wrapPolygon>
            </wp:wrapTight>
            <wp:docPr id="7068533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53391"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5943600" cy="3343275"/>
                    </a:xfrm>
                    <a:prstGeom prst="rect">
                      <a:avLst/>
                    </a:prstGeom>
                  </pic:spPr>
                </pic:pic>
              </a:graphicData>
            </a:graphic>
          </wp:anchor>
        </w:drawing>
      </w:r>
      <w:r>
        <w:rPr>
          <w:noProof/>
        </w:rPr>
        <w:drawing>
          <wp:anchor distT="0" distB="0" distL="114300" distR="114300" simplePos="0" relativeHeight="251692032" behindDoc="0" locked="0" layoutInCell="1" allowOverlap="1" wp14:anchorId="2E8C6247" wp14:editId="5AA2F8E9">
            <wp:simplePos x="0" y="0"/>
            <wp:positionH relativeFrom="column">
              <wp:posOffset>0</wp:posOffset>
            </wp:positionH>
            <wp:positionV relativeFrom="paragraph">
              <wp:posOffset>3706495</wp:posOffset>
            </wp:positionV>
            <wp:extent cx="5943600" cy="3343275"/>
            <wp:effectExtent l="0" t="0" r="0" b="9525"/>
            <wp:wrapTight wrapText="bothSides">
              <wp:wrapPolygon edited="0">
                <wp:start x="0" y="0"/>
                <wp:lineTo x="0" y="21538"/>
                <wp:lineTo x="21531" y="21538"/>
                <wp:lineTo x="21531" y="0"/>
                <wp:lineTo x="0" y="0"/>
              </wp:wrapPolygon>
            </wp:wrapTight>
            <wp:docPr id="5392489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48925"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5943600" cy="3343275"/>
                    </a:xfrm>
                    <a:prstGeom prst="rect">
                      <a:avLst/>
                    </a:prstGeom>
                  </pic:spPr>
                </pic:pic>
              </a:graphicData>
            </a:graphic>
          </wp:anchor>
        </w:drawing>
      </w:r>
    </w:p>
    <w:p w14:paraId="50A93777" w14:textId="0566D5F5" w:rsidR="004A0C8C" w:rsidRPr="004A0C8C" w:rsidRDefault="004A0C8C" w:rsidP="004A0C8C">
      <w:pPr>
        <w:rPr>
          <w:rFonts w:ascii="Times New Roman" w:eastAsia="Times New Roman" w:hAnsi="Times New Roman" w:cs="Times New Roman"/>
          <w:sz w:val="24"/>
          <w:szCs w:val="24"/>
        </w:rPr>
      </w:pPr>
    </w:p>
    <w:p w14:paraId="504CD333" w14:textId="77777777" w:rsidR="004A0C8C" w:rsidRPr="004A0C8C" w:rsidRDefault="004A0C8C" w:rsidP="004A0C8C">
      <w:pPr>
        <w:rPr>
          <w:rFonts w:ascii="Times New Roman" w:eastAsia="Times New Roman" w:hAnsi="Times New Roman" w:cs="Times New Roman"/>
          <w:sz w:val="24"/>
          <w:szCs w:val="24"/>
        </w:rPr>
      </w:pPr>
    </w:p>
    <w:p w14:paraId="2E7BABC2" w14:textId="77777777" w:rsidR="004A0C8C" w:rsidRPr="004A0C8C" w:rsidRDefault="004A0C8C" w:rsidP="004A0C8C">
      <w:pPr>
        <w:rPr>
          <w:rFonts w:ascii="Times New Roman" w:eastAsia="Times New Roman" w:hAnsi="Times New Roman" w:cs="Times New Roman"/>
          <w:sz w:val="24"/>
          <w:szCs w:val="24"/>
        </w:rPr>
      </w:pPr>
    </w:p>
    <w:p w14:paraId="14800AEB" w14:textId="290822BF" w:rsidR="004A0C8C" w:rsidRPr="004A0C8C" w:rsidRDefault="004A0C8C" w:rsidP="004A0C8C">
      <w:pPr>
        <w:rPr>
          <w:rFonts w:ascii="Times New Roman" w:eastAsia="Times New Roman" w:hAnsi="Times New Roman" w:cs="Times New Roman"/>
          <w:sz w:val="24"/>
          <w:szCs w:val="24"/>
        </w:rPr>
      </w:pPr>
    </w:p>
    <w:p w14:paraId="304EFA94" w14:textId="77777777" w:rsidR="004A0C8C" w:rsidRPr="004A0C8C" w:rsidRDefault="004A0C8C" w:rsidP="004A0C8C">
      <w:pPr>
        <w:rPr>
          <w:rFonts w:ascii="Times New Roman" w:eastAsia="Times New Roman" w:hAnsi="Times New Roman" w:cs="Times New Roman"/>
          <w:sz w:val="24"/>
          <w:szCs w:val="24"/>
        </w:rPr>
      </w:pPr>
    </w:p>
    <w:p w14:paraId="6D257959" w14:textId="29C457A9" w:rsidR="004A0C8C" w:rsidRPr="004A0C8C" w:rsidRDefault="004A0C8C" w:rsidP="004A0C8C">
      <w:pPr>
        <w:rPr>
          <w:rFonts w:ascii="Times New Roman" w:eastAsia="Times New Roman" w:hAnsi="Times New Roman" w:cs="Times New Roman"/>
          <w:sz w:val="24"/>
          <w:szCs w:val="24"/>
        </w:rPr>
      </w:pPr>
      <w:r>
        <w:rPr>
          <w:noProof/>
        </w:rPr>
        <w:drawing>
          <wp:anchor distT="0" distB="0" distL="114300" distR="114300" simplePos="0" relativeHeight="251694080" behindDoc="0" locked="0" layoutInCell="1" allowOverlap="1" wp14:anchorId="62A413C6" wp14:editId="76B8D400">
            <wp:simplePos x="0" y="0"/>
            <wp:positionH relativeFrom="column">
              <wp:posOffset>76200</wp:posOffset>
            </wp:positionH>
            <wp:positionV relativeFrom="paragraph">
              <wp:posOffset>107950</wp:posOffset>
            </wp:positionV>
            <wp:extent cx="5943600" cy="3343275"/>
            <wp:effectExtent l="0" t="0" r="0" b="9525"/>
            <wp:wrapTight wrapText="bothSides">
              <wp:wrapPolygon edited="0">
                <wp:start x="0" y="0"/>
                <wp:lineTo x="0" y="21538"/>
                <wp:lineTo x="21531" y="21538"/>
                <wp:lineTo x="21531" y="0"/>
                <wp:lineTo x="0" y="0"/>
              </wp:wrapPolygon>
            </wp:wrapTight>
            <wp:docPr id="19024234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23474"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943600" cy="3343275"/>
                    </a:xfrm>
                    <a:prstGeom prst="rect">
                      <a:avLst/>
                    </a:prstGeom>
                  </pic:spPr>
                </pic:pic>
              </a:graphicData>
            </a:graphic>
          </wp:anchor>
        </w:drawing>
      </w:r>
    </w:p>
    <w:p w14:paraId="7E350F96" w14:textId="7541808F" w:rsidR="004A0C8C" w:rsidRPr="004A0C8C" w:rsidRDefault="004A0C8C" w:rsidP="004A0C8C">
      <w:pPr>
        <w:rPr>
          <w:rFonts w:ascii="Times New Roman" w:eastAsia="Times New Roman" w:hAnsi="Times New Roman" w:cs="Times New Roman"/>
          <w:sz w:val="24"/>
          <w:szCs w:val="24"/>
        </w:rPr>
      </w:pPr>
    </w:p>
    <w:p w14:paraId="3121A922" w14:textId="12093036" w:rsidR="004A0C8C" w:rsidRPr="004A0C8C" w:rsidRDefault="004A0C8C" w:rsidP="004A0C8C">
      <w:pPr>
        <w:rPr>
          <w:rFonts w:ascii="Times New Roman" w:eastAsia="Times New Roman" w:hAnsi="Times New Roman" w:cs="Times New Roman"/>
          <w:sz w:val="24"/>
          <w:szCs w:val="24"/>
        </w:rPr>
      </w:pPr>
    </w:p>
    <w:p w14:paraId="1B6D8A5E" w14:textId="7A7E3A4C" w:rsidR="004A0C8C" w:rsidRDefault="004A0C8C" w:rsidP="004A0C8C">
      <w:pPr>
        <w:rPr>
          <w:rFonts w:ascii="Times New Roman" w:eastAsia="Times New Roman" w:hAnsi="Times New Roman" w:cs="Times New Roman"/>
          <w:sz w:val="24"/>
          <w:szCs w:val="24"/>
        </w:rPr>
      </w:pPr>
      <w:r>
        <w:rPr>
          <w:noProof/>
        </w:rPr>
        <w:drawing>
          <wp:anchor distT="0" distB="0" distL="114300" distR="114300" simplePos="0" relativeHeight="251696128" behindDoc="0" locked="0" layoutInCell="1" allowOverlap="1" wp14:anchorId="4D3C28CF" wp14:editId="0506F7E6">
            <wp:simplePos x="0" y="0"/>
            <wp:positionH relativeFrom="margin">
              <wp:posOffset>0</wp:posOffset>
            </wp:positionH>
            <wp:positionV relativeFrom="paragraph">
              <wp:posOffset>309880</wp:posOffset>
            </wp:positionV>
            <wp:extent cx="5688965" cy="3200400"/>
            <wp:effectExtent l="0" t="0" r="6985" b="0"/>
            <wp:wrapTight wrapText="bothSides">
              <wp:wrapPolygon edited="0">
                <wp:start x="0" y="0"/>
                <wp:lineTo x="0" y="21471"/>
                <wp:lineTo x="21554" y="21471"/>
                <wp:lineTo x="21554" y="0"/>
                <wp:lineTo x="0" y="0"/>
              </wp:wrapPolygon>
            </wp:wrapTight>
            <wp:docPr id="31000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047"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688965" cy="3200400"/>
                    </a:xfrm>
                    <a:prstGeom prst="rect">
                      <a:avLst/>
                    </a:prstGeom>
                  </pic:spPr>
                </pic:pic>
              </a:graphicData>
            </a:graphic>
            <wp14:sizeRelH relativeFrom="margin">
              <wp14:pctWidth>0</wp14:pctWidth>
            </wp14:sizeRelH>
            <wp14:sizeRelV relativeFrom="margin">
              <wp14:pctHeight>0</wp14:pctHeight>
            </wp14:sizeRelV>
          </wp:anchor>
        </w:drawing>
      </w:r>
    </w:p>
    <w:p w14:paraId="0322B5D8" w14:textId="4E3C4DB7" w:rsidR="004A0C8C" w:rsidRPr="004A0C8C" w:rsidRDefault="004A0C8C" w:rsidP="004A0C8C">
      <w:pPr>
        <w:rPr>
          <w:rFonts w:ascii="Times New Roman" w:eastAsia="Times New Roman" w:hAnsi="Times New Roman" w:cs="Times New Roman"/>
          <w:sz w:val="24"/>
          <w:szCs w:val="24"/>
        </w:rPr>
      </w:pPr>
    </w:p>
    <w:p w14:paraId="4A569257" w14:textId="30DB2AAB" w:rsidR="004A0C8C" w:rsidRPr="004A0C8C" w:rsidRDefault="004A0C8C" w:rsidP="004A0C8C">
      <w:pPr>
        <w:rPr>
          <w:rFonts w:ascii="Times New Roman" w:eastAsia="Times New Roman" w:hAnsi="Times New Roman" w:cs="Times New Roman"/>
          <w:sz w:val="24"/>
          <w:szCs w:val="24"/>
        </w:rPr>
      </w:pPr>
    </w:p>
    <w:p w14:paraId="01EB753A" w14:textId="56BDCA52" w:rsidR="004A0C8C" w:rsidRPr="004A0C8C" w:rsidRDefault="004A0C8C" w:rsidP="004A0C8C">
      <w:pPr>
        <w:jc w:val="center"/>
        <w:rPr>
          <w:rFonts w:ascii="Times New Roman" w:eastAsia="Times New Roman" w:hAnsi="Times New Roman" w:cs="Times New Roman"/>
          <w:sz w:val="24"/>
          <w:szCs w:val="24"/>
        </w:rPr>
      </w:pPr>
    </w:p>
    <w:p w14:paraId="40D0FF9A" w14:textId="74471B9E" w:rsidR="004A0C8C" w:rsidRPr="004A0C8C" w:rsidRDefault="004A0C8C" w:rsidP="004A0C8C">
      <w:pPr>
        <w:rPr>
          <w:rFonts w:ascii="Times New Roman" w:eastAsia="Times New Roman" w:hAnsi="Times New Roman" w:cs="Times New Roman"/>
          <w:sz w:val="24"/>
          <w:szCs w:val="24"/>
        </w:rPr>
      </w:pPr>
      <w:r>
        <w:rPr>
          <w:noProof/>
        </w:rPr>
        <w:drawing>
          <wp:anchor distT="0" distB="0" distL="114300" distR="114300" simplePos="0" relativeHeight="251698176" behindDoc="0" locked="0" layoutInCell="1" allowOverlap="1" wp14:anchorId="375AB46C" wp14:editId="552D9CA1">
            <wp:simplePos x="0" y="0"/>
            <wp:positionH relativeFrom="column">
              <wp:posOffset>-139700</wp:posOffset>
            </wp:positionH>
            <wp:positionV relativeFrom="paragraph">
              <wp:posOffset>0</wp:posOffset>
            </wp:positionV>
            <wp:extent cx="5943600" cy="3343275"/>
            <wp:effectExtent l="0" t="0" r="0" b="9525"/>
            <wp:wrapTight wrapText="bothSides">
              <wp:wrapPolygon edited="0">
                <wp:start x="0" y="0"/>
                <wp:lineTo x="0" y="21538"/>
                <wp:lineTo x="21531" y="21538"/>
                <wp:lineTo x="21531" y="0"/>
                <wp:lineTo x="0" y="0"/>
              </wp:wrapPolygon>
            </wp:wrapTight>
            <wp:docPr id="16621271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27122"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5943600" cy="3343275"/>
                    </a:xfrm>
                    <a:prstGeom prst="rect">
                      <a:avLst/>
                    </a:prstGeom>
                  </pic:spPr>
                </pic:pic>
              </a:graphicData>
            </a:graphic>
          </wp:anchor>
        </w:drawing>
      </w:r>
    </w:p>
    <w:p w14:paraId="3F848C63" w14:textId="77777777" w:rsidR="004A0C8C" w:rsidRPr="004A0C8C" w:rsidRDefault="004A0C8C" w:rsidP="004A0C8C">
      <w:pPr>
        <w:rPr>
          <w:rFonts w:ascii="Times New Roman" w:eastAsia="Times New Roman" w:hAnsi="Times New Roman" w:cs="Times New Roman"/>
          <w:sz w:val="24"/>
          <w:szCs w:val="24"/>
        </w:rPr>
      </w:pPr>
    </w:p>
    <w:p w14:paraId="5E831B29" w14:textId="3D4290D9" w:rsidR="004A0C8C" w:rsidRPr="004A0C8C" w:rsidRDefault="004A0C8C" w:rsidP="0046672D">
      <w:pPr>
        <w:tabs>
          <w:tab w:val="left" w:pos="4160"/>
        </w:tabs>
        <w:rPr>
          <w:rFonts w:ascii="Times New Roman" w:eastAsia="Times New Roman" w:hAnsi="Times New Roman" w:cs="Times New Roman"/>
          <w:sz w:val="24"/>
          <w:szCs w:val="24"/>
        </w:rPr>
      </w:pPr>
      <w:r>
        <w:rPr>
          <w:noProof/>
        </w:rPr>
        <w:drawing>
          <wp:anchor distT="0" distB="0" distL="114300" distR="114300" simplePos="0" relativeHeight="251700224" behindDoc="0" locked="0" layoutInCell="1" allowOverlap="1" wp14:anchorId="0D7B614A" wp14:editId="7D6FAD25">
            <wp:simplePos x="0" y="0"/>
            <wp:positionH relativeFrom="margin">
              <wp:align>right</wp:align>
            </wp:positionH>
            <wp:positionV relativeFrom="paragraph">
              <wp:posOffset>315617</wp:posOffset>
            </wp:positionV>
            <wp:extent cx="5943600" cy="3343275"/>
            <wp:effectExtent l="0" t="0" r="0" b="9525"/>
            <wp:wrapTight wrapText="bothSides">
              <wp:wrapPolygon edited="0">
                <wp:start x="0" y="0"/>
                <wp:lineTo x="0" y="21538"/>
                <wp:lineTo x="21531" y="21538"/>
                <wp:lineTo x="21531" y="0"/>
                <wp:lineTo x="0" y="0"/>
              </wp:wrapPolygon>
            </wp:wrapTight>
            <wp:docPr id="13137596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59665"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5943600" cy="3343275"/>
                    </a:xfrm>
                    <a:prstGeom prst="rect">
                      <a:avLst/>
                    </a:prstGeom>
                  </pic:spPr>
                </pic:pic>
              </a:graphicData>
            </a:graphic>
          </wp:anchor>
        </w:drawing>
      </w:r>
      <w:r>
        <w:rPr>
          <w:rFonts w:ascii="Times New Roman" w:eastAsia="Times New Roman" w:hAnsi="Times New Roman" w:cs="Times New Roman"/>
          <w:sz w:val="24"/>
          <w:szCs w:val="24"/>
        </w:rPr>
        <w:tab/>
      </w:r>
    </w:p>
    <w:sectPr w:rsidR="004A0C8C" w:rsidRPr="004A0C8C" w:rsidSect="0079621E">
      <w:pgSz w:w="12240" w:h="15840"/>
      <w:pgMar w:top="1440" w:right="1440" w:bottom="1440" w:left="1440" w:header="720" w:footer="720" w:gutter="0"/>
      <w:pgNumType w:start="3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BA8C" w14:textId="77777777" w:rsidR="00A2358B" w:rsidRDefault="00A2358B">
      <w:pPr>
        <w:spacing w:line="240" w:lineRule="auto"/>
      </w:pPr>
      <w:r>
        <w:separator/>
      </w:r>
    </w:p>
  </w:endnote>
  <w:endnote w:type="continuationSeparator" w:id="0">
    <w:p w14:paraId="0EEC25C5" w14:textId="77777777" w:rsidR="00A2358B" w:rsidRDefault="00A23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B3EE618-C54D-C440-8A10-0BEAEA836248}"/>
  </w:font>
  <w:font w:name="Times New Roman">
    <w:panose1 w:val="02020603050405020304"/>
    <w:charset w:val="00"/>
    <w:family w:val="roman"/>
    <w:pitch w:val="variable"/>
    <w:sig w:usb0="E0002EFF" w:usb1="C000785B" w:usb2="00000009" w:usb3="00000000" w:csb0="000001FF" w:csb1="00000000"/>
    <w:embedRegular r:id="rId2" w:fontKey="{7AEFD1BE-D3E1-5447-8517-2AB2C690B2FE}"/>
    <w:embedBold r:id="rId3" w:fontKey="{1264EEA5-3647-4C41-8DA1-AAD8F1369604}"/>
    <w:embedItalic r:id="rId4" w:fontKey="{AF4D89FA-56F5-5249-867F-FC0D74672C13}"/>
    <w:embedBoldItalic r:id="rId5" w:fontKey="{A5DEEE74-F579-CD43-8A23-8DBDD7E13E83}"/>
  </w:font>
  <w:font w:name="Courier New">
    <w:panose1 w:val="02070309020205020404"/>
    <w:charset w:val="00"/>
    <w:family w:val="modern"/>
    <w:pitch w:val="fixed"/>
    <w:sig w:usb0="E0002AFF" w:usb1="C0007843" w:usb2="00000009" w:usb3="00000000" w:csb0="000001FF" w:csb1="00000000"/>
    <w:embedRegular r:id="rId6" w:fontKey="{2360FE9A-6A70-BD42-9796-65BFC01132DC}"/>
  </w:font>
  <w:font w:name="Wingdings">
    <w:panose1 w:val="05000000000000000000"/>
    <w:charset w:val="4D"/>
    <w:family w:val="decorative"/>
    <w:pitch w:val="variable"/>
    <w:sig w:usb0="00000003" w:usb1="00000000" w:usb2="00000000" w:usb3="00000000" w:csb0="80000001" w:csb1="00000000"/>
    <w:embedRegular r:id="rId7" w:fontKey="{6B3ABDFA-719C-AB4A-B0FE-CFEEA73530C8}"/>
  </w:font>
  <w:font w:name="Arial">
    <w:panose1 w:val="020B0604020202020204"/>
    <w:charset w:val="00"/>
    <w:family w:val="swiss"/>
    <w:pitch w:val="variable"/>
    <w:sig w:usb0="E0002AFF" w:usb1="C0007843" w:usb2="00000009" w:usb3="00000000" w:csb0="000001FF" w:csb1="00000000"/>
    <w:embedRegular r:id="rId8" w:fontKey="{24028199-A108-E748-B966-380D823388CD}"/>
    <w:embedBold r:id="rId9" w:fontKey="{197EEA09-68CB-ED4C-81D6-A70DF9F71178}"/>
    <w:embedItalic r:id="rId10" w:fontKey="{79B8FB02-9EC4-6741-818B-724B81704D67}"/>
  </w:font>
  <w:font w:name="Cambria">
    <w:panose1 w:val="02040503050406030204"/>
    <w:charset w:val="00"/>
    <w:family w:val="roman"/>
    <w:pitch w:val="variable"/>
    <w:sig w:usb0="E00002FF" w:usb1="400004FF" w:usb2="00000000" w:usb3="00000000" w:csb0="0000019F" w:csb1="00000000"/>
    <w:embedRegular r:id="rId11" w:fontKey="{A1709221-8FCC-814B-B7FC-83A8046D4B15}"/>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2" w:fontKey="{B7B35BDB-F2C5-194D-A8F2-0F2C820FE750}"/>
    <w:embedBold r:id="rId13" w:fontKey="{C14FB167-C07A-D549-BBE7-282A43CB3E68}"/>
    <w:embedItalic r:id="rId14" w:fontKey="{74371093-6777-7D49-A5C3-C7C98ADE604A}"/>
    <w:embedBoldItalic r:id="rId15" w:fontKey="{0B68BE1B-B9F4-7F44-9C51-4026E2EE0B47}"/>
  </w:font>
  <w:font w:name="Aptos">
    <w:panose1 w:val="020B0004020202020204"/>
    <w:charset w:val="00"/>
    <w:family w:val="swiss"/>
    <w:pitch w:val="variable"/>
    <w:sig w:usb0="20000287" w:usb1="00000003" w:usb2="00000000" w:usb3="00000000" w:csb0="0000019F" w:csb1="00000000"/>
    <w:embedRegular r:id="rId16" w:fontKey="{9584104C-2559-E64C-94E3-E942F904429C}"/>
  </w:font>
  <w:font w:name="Segoe UI">
    <w:panose1 w:val="020B0502040204020203"/>
    <w:charset w:val="00"/>
    <w:family w:val="swiss"/>
    <w:pitch w:val="variable"/>
    <w:sig w:usb0="E4002EFF" w:usb1="C000E47F" w:usb2="00000009" w:usb3="00000000" w:csb0="000001FF" w:csb1="00000000"/>
    <w:embedRegular r:id="rId17" w:fontKey="{62CED3D3-05A1-FA47-840D-12A86364E207}"/>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93A46A" w14:paraId="77C2E56A" w14:textId="77777777" w:rsidTr="6193A46A">
      <w:trPr>
        <w:trHeight w:val="300"/>
      </w:trPr>
      <w:tc>
        <w:tcPr>
          <w:tcW w:w="3120" w:type="dxa"/>
        </w:tcPr>
        <w:p w14:paraId="0DF2F064" w14:textId="781562C3" w:rsidR="6193A46A" w:rsidRDefault="6193A46A" w:rsidP="6193A46A">
          <w:pPr>
            <w:pStyle w:val="Header"/>
            <w:ind w:left="-115"/>
          </w:pPr>
        </w:p>
      </w:tc>
      <w:tc>
        <w:tcPr>
          <w:tcW w:w="3120" w:type="dxa"/>
        </w:tcPr>
        <w:p w14:paraId="3527B927" w14:textId="333E947E" w:rsidR="6193A46A" w:rsidRDefault="6193A46A" w:rsidP="6193A46A">
          <w:pPr>
            <w:pStyle w:val="Header"/>
            <w:jc w:val="center"/>
          </w:pPr>
        </w:p>
      </w:tc>
      <w:tc>
        <w:tcPr>
          <w:tcW w:w="3120" w:type="dxa"/>
        </w:tcPr>
        <w:p w14:paraId="0C0821F4" w14:textId="77729F6F" w:rsidR="6193A46A" w:rsidRDefault="6193A46A" w:rsidP="6193A46A">
          <w:pPr>
            <w:pStyle w:val="Header"/>
            <w:ind w:right="-115"/>
            <w:jc w:val="right"/>
          </w:pPr>
        </w:p>
      </w:tc>
    </w:tr>
  </w:tbl>
  <w:p w14:paraId="2F5DD3A0" w14:textId="68A35160" w:rsidR="6193A46A" w:rsidRDefault="6193A46A" w:rsidP="6193A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93A46A" w14:paraId="7C3641B8" w14:textId="77777777" w:rsidTr="6193A46A">
      <w:trPr>
        <w:trHeight w:val="300"/>
      </w:trPr>
      <w:tc>
        <w:tcPr>
          <w:tcW w:w="3120" w:type="dxa"/>
        </w:tcPr>
        <w:p w14:paraId="22BE1347" w14:textId="6C2E456B" w:rsidR="6193A46A" w:rsidRDefault="6193A46A" w:rsidP="6193A46A">
          <w:pPr>
            <w:pStyle w:val="Header"/>
            <w:ind w:left="-115"/>
          </w:pPr>
        </w:p>
      </w:tc>
      <w:tc>
        <w:tcPr>
          <w:tcW w:w="3120" w:type="dxa"/>
        </w:tcPr>
        <w:p w14:paraId="6AC6F387" w14:textId="15BBFD95" w:rsidR="6193A46A" w:rsidRDefault="6193A46A" w:rsidP="6193A46A">
          <w:pPr>
            <w:pStyle w:val="Header"/>
            <w:jc w:val="center"/>
          </w:pPr>
        </w:p>
      </w:tc>
      <w:tc>
        <w:tcPr>
          <w:tcW w:w="3120" w:type="dxa"/>
        </w:tcPr>
        <w:p w14:paraId="3D51F4CF" w14:textId="547E574D" w:rsidR="6193A46A" w:rsidRDefault="6193A46A" w:rsidP="6193A46A">
          <w:pPr>
            <w:pStyle w:val="Header"/>
            <w:ind w:right="-115"/>
            <w:jc w:val="right"/>
          </w:pPr>
        </w:p>
      </w:tc>
    </w:tr>
  </w:tbl>
  <w:p w14:paraId="622AA5B8" w14:textId="2B03E289" w:rsidR="6193A46A" w:rsidRDefault="6193A46A" w:rsidP="6193A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A63A" w14:textId="77777777" w:rsidR="00A2358B" w:rsidRDefault="00A2358B">
      <w:pPr>
        <w:spacing w:line="240" w:lineRule="auto"/>
      </w:pPr>
      <w:r>
        <w:separator/>
      </w:r>
    </w:p>
  </w:footnote>
  <w:footnote w:type="continuationSeparator" w:id="0">
    <w:p w14:paraId="1C6D0F13" w14:textId="77777777" w:rsidR="00A2358B" w:rsidRDefault="00A23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3242993"/>
      <w:docPartObj>
        <w:docPartGallery w:val="Page Numbers (Top of Page)"/>
        <w:docPartUnique/>
      </w:docPartObj>
    </w:sdtPr>
    <w:sdtContent>
      <w:p w14:paraId="29609956" w14:textId="38D7B1BA" w:rsidR="002704FC" w:rsidRDefault="002704FC" w:rsidP="004667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00FA17" w14:textId="77777777" w:rsidR="002704FC" w:rsidRDefault="002704FC" w:rsidP="002704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6338609"/>
      <w:docPartObj>
        <w:docPartGallery w:val="Page Numbers (Top of Page)"/>
        <w:docPartUnique/>
      </w:docPartObj>
    </w:sdtPr>
    <w:sdtContent>
      <w:p w14:paraId="72E742B6" w14:textId="2139CA5A" w:rsidR="0046672D" w:rsidRDefault="0046672D" w:rsidP="00826AB4">
        <w:pPr>
          <w:pStyle w:val="Header"/>
          <w:framePr w:wrap="none" w:vAnchor="text" w:hAnchor="margin" w:xAlign="right" w:y="1"/>
          <w:rPr>
            <w:rStyle w:val="PageNumber"/>
          </w:rPr>
        </w:pPr>
        <w:r w:rsidRPr="0046672D">
          <w:rPr>
            <w:rStyle w:val="PageNumber"/>
            <w:rFonts w:ascii="Times New Roman" w:hAnsi="Times New Roman" w:cs="Times New Roman"/>
            <w:sz w:val="24"/>
            <w:szCs w:val="24"/>
          </w:rPr>
          <w:fldChar w:fldCharType="begin"/>
        </w:r>
        <w:r w:rsidRPr="0046672D">
          <w:rPr>
            <w:rStyle w:val="PageNumber"/>
            <w:rFonts w:ascii="Times New Roman" w:hAnsi="Times New Roman" w:cs="Times New Roman"/>
            <w:sz w:val="24"/>
            <w:szCs w:val="24"/>
          </w:rPr>
          <w:instrText xml:space="preserve"> PAGE </w:instrText>
        </w:r>
        <w:r w:rsidRPr="0046672D">
          <w:rPr>
            <w:rStyle w:val="PageNumber"/>
            <w:rFonts w:ascii="Times New Roman" w:hAnsi="Times New Roman" w:cs="Times New Roman"/>
            <w:sz w:val="24"/>
            <w:szCs w:val="24"/>
          </w:rPr>
          <w:fldChar w:fldCharType="separate"/>
        </w:r>
        <w:r w:rsidRPr="0046672D">
          <w:rPr>
            <w:rStyle w:val="PageNumber"/>
            <w:rFonts w:ascii="Times New Roman" w:hAnsi="Times New Roman" w:cs="Times New Roman"/>
            <w:noProof/>
            <w:sz w:val="24"/>
            <w:szCs w:val="24"/>
          </w:rPr>
          <w:t>2</w:t>
        </w:r>
        <w:r w:rsidRPr="0046672D">
          <w:rPr>
            <w:rStyle w:val="PageNumber"/>
            <w:rFonts w:ascii="Times New Roman" w:hAnsi="Times New Roman" w:cs="Times New Roman"/>
            <w:sz w:val="24"/>
            <w:szCs w:val="24"/>
          </w:rPr>
          <w:fldChar w:fldCharType="end"/>
        </w:r>
      </w:p>
    </w:sdtContent>
  </w:sdt>
  <w:p w14:paraId="2F261C95" w14:textId="66FB605D" w:rsidR="0320F0AF" w:rsidRPr="0046672D" w:rsidRDefault="0320F0AF" w:rsidP="0046672D">
    <w:pPr>
      <w:pStyle w:val="Header"/>
      <w:ind w:right="360"/>
      <w:jc w:val="right"/>
      <w:rPr>
        <w:rFonts w:ascii="Times New Roman" w:hAnsi="Times New Roman" w:cs="Times New Roman"/>
        <w:sz w:val="24"/>
        <w:szCs w:val="24"/>
      </w:rPr>
    </w:pPr>
  </w:p>
  <w:p w14:paraId="21D056DF" w14:textId="63064DDC" w:rsidR="002704FC" w:rsidRDefault="002704FC" w:rsidP="005E1B20">
    <w:pPr>
      <w:pStyle w:val="Header"/>
      <w:framePr w:wrap="none" w:vAnchor="text" w:hAnchor="margin" w:xAlign="right" w:y="1"/>
      <w:rPr>
        <w:rStyle w:val="PageNumber"/>
      </w:rPr>
    </w:pPr>
  </w:p>
  <w:p w14:paraId="6A43061E" w14:textId="77777777" w:rsidR="002704FC" w:rsidRPr="002704FC" w:rsidRDefault="002704FC" w:rsidP="002704FC">
    <w:pPr>
      <w:pStyle w:val="Header"/>
      <w:ind w:right="360"/>
      <w:rPr>
        <w:rFonts w:ascii="Times New Roman" w:hAnsi="Times New Roman" w:cs="Times New Roman"/>
      </w:rPr>
    </w:pPr>
    <w:r w:rsidRPr="002704FC">
      <w:rPr>
        <w:rFonts w:ascii="Times New Roman" w:hAnsi="Times New Roman" w:cs="Times New Roman"/>
      </w:rPr>
      <w:t>INTRAOPERATIVE INTRAVENOUS METHADONE</w:t>
    </w:r>
  </w:p>
  <w:p w14:paraId="3A7C38FC" w14:textId="77777777" w:rsidR="002704FC" w:rsidRPr="002704FC" w:rsidRDefault="002704FC" w:rsidP="00270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518777"/>
      <w:docPartObj>
        <w:docPartGallery w:val="Page Numbers (Top of Page)"/>
        <w:docPartUnique/>
      </w:docPartObj>
    </w:sdtPr>
    <w:sdtContent>
      <w:p w14:paraId="09DC8897" w14:textId="630C8CDE" w:rsidR="0046672D" w:rsidRDefault="0046672D" w:rsidP="00826AB4">
        <w:pPr>
          <w:pStyle w:val="Header"/>
          <w:framePr w:wrap="none" w:vAnchor="text" w:hAnchor="margin" w:xAlign="right" w:y="1"/>
          <w:rPr>
            <w:rStyle w:val="PageNumber"/>
          </w:rPr>
        </w:pPr>
        <w:r w:rsidRPr="0046672D">
          <w:rPr>
            <w:rStyle w:val="PageNumber"/>
            <w:rFonts w:ascii="Times New Roman" w:hAnsi="Times New Roman" w:cs="Times New Roman"/>
            <w:sz w:val="24"/>
            <w:szCs w:val="24"/>
          </w:rPr>
          <w:fldChar w:fldCharType="begin"/>
        </w:r>
        <w:r w:rsidRPr="0046672D">
          <w:rPr>
            <w:rStyle w:val="PageNumber"/>
            <w:rFonts w:ascii="Times New Roman" w:hAnsi="Times New Roman" w:cs="Times New Roman"/>
            <w:sz w:val="24"/>
            <w:szCs w:val="24"/>
          </w:rPr>
          <w:instrText xml:space="preserve"> PAGE </w:instrText>
        </w:r>
        <w:r w:rsidRPr="0046672D">
          <w:rPr>
            <w:rStyle w:val="PageNumber"/>
            <w:rFonts w:ascii="Times New Roman" w:hAnsi="Times New Roman" w:cs="Times New Roman"/>
            <w:sz w:val="24"/>
            <w:szCs w:val="24"/>
          </w:rPr>
          <w:fldChar w:fldCharType="separate"/>
        </w:r>
        <w:r w:rsidRPr="0046672D">
          <w:rPr>
            <w:rStyle w:val="PageNumber"/>
            <w:rFonts w:ascii="Times New Roman" w:hAnsi="Times New Roman" w:cs="Times New Roman"/>
            <w:noProof/>
            <w:sz w:val="24"/>
            <w:szCs w:val="24"/>
          </w:rPr>
          <w:t>1</w:t>
        </w:r>
        <w:r w:rsidRPr="0046672D">
          <w:rPr>
            <w:rStyle w:val="PageNumber"/>
            <w:rFonts w:ascii="Times New Roman" w:hAnsi="Times New Roman" w:cs="Times New Roman"/>
            <w:sz w:val="24"/>
            <w:szCs w:val="24"/>
          </w:rPr>
          <w:fldChar w:fldCharType="end"/>
        </w:r>
      </w:p>
    </w:sdtContent>
  </w:sdt>
  <w:p w14:paraId="321C9609" w14:textId="4AB10FF3" w:rsidR="0079621E" w:rsidRPr="002704FC" w:rsidRDefault="002704FC" w:rsidP="002704FC">
    <w:pPr>
      <w:pStyle w:val="Header"/>
      <w:ind w:right="360"/>
      <w:rPr>
        <w:rFonts w:ascii="Times New Roman" w:hAnsi="Times New Roman" w:cs="Times New Roman"/>
      </w:rPr>
    </w:pPr>
    <w:r>
      <w:rPr>
        <w:rFonts w:ascii="Times New Roman" w:hAnsi="Times New Roman" w:cs="Times New Roman"/>
      </w:rPr>
      <w:t>Running head:</w:t>
    </w:r>
    <w:r w:rsidRPr="002704FC">
      <w:rPr>
        <w:rFonts w:ascii="Times New Roman" w:hAnsi="Times New Roman" w:cs="Times New Roman"/>
      </w:rPr>
      <w:t xml:space="preserve"> INTRAOPERATIVE INTRAVENOUS METHADONE</w:t>
    </w:r>
  </w:p>
</w:hdr>
</file>

<file path=word/intelligence2.xml><?xml version="1.0" encoding="utf-8"?>
<int2:intelligence xmlns:int2="http://schemas.microsoft.com/office/intelligence/2020/intelligence" xmlns:oel="http://schemas.microsoft.com/office/2019/extlst">
  <int2:observations>
    <int2:textHash int2:hashCode="HUowYkN3rb+s9k" int2:id="XiF2pKCY">
      <int2:state int2:value="Rejected" int2:type="spell"/>
    </int2:textHash>
    <int2:textHash int2:hashCode="q4PD+wgAVJxZXH" int2:id="w1B9qP2n">
      <int2:state int2:value="Rejected" int2:type="spell"/>
    </int2:textHash>
    <int2:textHash int2:hashCode="RYLNAu6f2bwslP" int2:id="hHVvMesy">
      <int2:state int2:value="Rejected" int2:type="gram"/>
    </int2:textHash>
    <int2:textHash int2:hashCode="BjSIAWzyJC7leA" int2:id="GprRSFDC">
      <int2:state int2:value="Rejected" int2:type="spell"/>
    </int2:textHash>
    <int2:textHash int2:hashCode="SIwWQq6fWKmsoy" int2:id="JeLfC54F">
      <int2:state int2:value="Rejected" int2:type="spell"/>
    </int2:textHash>
    <int2:textHash int2:hashCode="K0q5wXwgUEACCJ" int2:id="PVRsGYyV">
      <int2:state int2:value="Rejected" int2:type="spell"/>
    </int2:textHash>
    <int2:textHash int2:hashCode="LoTZCClsmoAiA3" int2:id="gIvRRrDE">
      <int2:state int2:value="Rejected" int2:type="spell"/>
    </int2:textHash>
    <int2:textHash int2:hashCode="qfrVK4UY7KKqet" int2:id="hhQpRh5i">
      <int2:state int2:value="Rejected" int2:type="spell"/>
    </int2:textHash>
    <int2:textHash int2:hashCode="nTn1KgikUl0TPW" int2:id="x2D9AEt9">
      <int2:state int2:value="Rejected" int2:type="spell"/>
    </int2:textHash>
    <int2:textHash int2:hashCode="ni8UUdXdlt6RIo" int2:id="H802qx7g">
      <int2:state int2:value="Rejected" int2:type="spell"/>
    </int2:textHash>
    <int2:bookmark int2:bookmarkName="_Int_FvxAMIAA" int2:invalidationBookmarkName="" int2:hashCode="RqhmcRGM7U3nVn" int2:id="DDKQRr68">
      <int2:state int2:value="Rejected" int2:type="style"/>
    </int2:bookmark>
    <int2:bookmark int2:bookmarkName="_Int_VtZh1QFK" int2:invalidationBookmarkName="" int2:hashCode="O30PzcGzgilo0B" int2:id="YpwSGT3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1C143"/>
    <w:multiLevelType w:val="hybridMultilevel"/>
    <w:tmpl w:val="2A42B394"/>
    <w:lvl w:ilvl="0" w:tplc="A754DF92">
      <w:start w:val="1"/>
      <w:numFmt w:val="bullet"/>
      <w:lvlText w:val=""/>
      <w:lvlJc w:val="left"/>
      <w:pPr>
        <w:ind w:left="720" w:hanging="360"/>
      </w:pPr>
      <w:rPr>
        <w:rFonts w:ascii="Symbol" w:hAnsi="Symbol" w:hint="default"/>
      </w:rPr>
    </w:lvl>
    <w:lvl w:ilvl="1" w:tplc="9A60BBA4">
      <w:start w:val="1"/>
      <w:numFmt w:val="bullet"/>
      <w:lvlText w:val="o"/>
      <w:lvlJc w:val="left"/>
      <w:pPr>
        <w:ind w:left="1440" w:hanging="360"/>
      </w:pPr>
      <w:rPr>
        <w:rFonts w:ascii="Courier New" w:hAnsi="Courier New" w:hint="default"/>
      </w:rPr>
    </w:lvl>
    <w:lvl w:ilvl="2" w:tplc="37C2928A">
      <w:start w:val="1"/>
      <w:numFmt w:val="bullet"/>
      <w:lvlText w:val=""/>
      <w:lvlJc w:val="left"/>
      <w:pPr>
        <w:ind w:left="2160" w:hanging="360"/>
      </w:pPr>
      <w:rPr>
        <w:rFonts w:ascii="Wingdings" w:hAnsi="Wingdings" w:hint="default"/>
      </w:rPr>
    </w:lvl>
    <w:lvl w:ilvl="3" w:tplc="34F28EEA">
      <w:start w:val="1"/>
      <w:numFmt w:val="bullet"/>
      <w:lvlText w:val=""/>
      <w:lvlJc w:val="left"/>
      <w:pPr>
        <w:ind w:left="2880" w:hanging="360"/>
      </w:pPr>
      <w:rPr>
        <w:rFonts w:ascii="Symbol" w:hAnsi="Symbol" w:hint="default"/>
      </w:rPr>
    </w:lvl>
    <w:lvl w:ilvl="4" w:tplc="48D47E04">
      <w:start w:val="1"/>
      <w:numFmt w:val="bullet"/>
      <w:lvlText w:val="o"/>
      <w:lvlJc w:val="left"/>
      <w:pPr>
        <w:ind w:left="3600" w:hanging="360"/>
      </w:pPr>
      <w:rPr>
        <w:rFonts w:ascii="Courier New" w:hAnsi="Courier New" w:hint="default"/>
      </w:rPr>
    </w:lvl>
    <w:lvl w:ilvl="5" w:tplc="EF46F116">
      <w:start w:val="1"/>
      <w:numFmt w:val="bullet"/>
      <w:lvlText w:val=""/>
      <w:lvlJc w:val="left"/>
      <w:pPr>
        <w:ind w:left="4320" w:hanging="360"/>
      </w:pPr>
      <w:rPr>
        <w:rFonts w:ascii="Wingdings" w:hAnsi="Wingdings" w:hint="default"/>
      </w:rPr>
    </w:lvl>
    <w:lvl w:ilvl="6" w:tplc="6FCC6EA4">
      <w:start w:val="1"/>
      <w:numFmt w:val="bullet"/>
      <w:lvlText w:val=""/>
      <w:lvlJc w:val="left"/>
      <w:pPr>
        <w:ind w:left="5040" w:hanging="360"/>
      </w:pPr>
      <w:rPr>
        <w:rFonts w:ascii="Symbol" w:hAnsi="Symbol" w:hint="default"/>
      </w:rPr>
    </w:lvl>
    <w:lvl w:ilvl="7" w:tplc="287EE128">
      <w:start w:val="1"/>
      <w:numFmt w:val="bullet"/>
      <w:lvlText w:val="o"/>
      <w:lvlJc w:val="left"/>
      <w:pPr>
        <w:ind w:left="5760" w:hanging="360"/>
      </w:pPr>
      <w:rPr>
        <w:rFonts w:ascii="Courier New" w:hAnsi="Courier New" w:hint="default"/>
      </w:rPr>
    </w:lvl>
    <w:lvl w:ilvl="8" w:tplc="56989570">
      <w:start w:val="1"/>
      <w:numFmt w:val="bullet"/>
      <w:lvlText w:val=""/>
      <w:lvlJc w:val="left"/>
      <w:pPr>
        <w:ind w:left="6480" w:hanging="360"/>
      </w:pPr>
      <w:rPr>
        <w:rFonts w:ascii="Wingdings" w:hAnsi="Wingdings" w:hint="default"/>
      </w:rPr>
    </w:lvl>
  </w:abstractNum>
  <w:num w:numId="1" w16cid:durableId="107585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7CC"/>
    <w:rsid w:val="00013649"/>
    <w:rsid w:val="0004422A"/>
    <w:rsid w:val="000517B8"/>
    <w:rsid w:val="00081919"/>
    <w:rsid w:val="00091262"/>
    <w:rsid w:val="000A483D"/>
    <w:rsid w:val="00104A1F"/>
    <w:rsid w:val="0012624C"/>
    <w:rsid w:val="00182072"/>
    <w:rsid w:val="001A325D"/>
    <w:rsid w:val="0025391A"/>
    <w:rsid w:val="002704FC"/>
    <w:rsid w:val="00281C6E"/>
    <w:rsid w:val="002A3E7E"/>
    <w:rsid w:val="002D018B"/>
    <w:rsid w:val="002E5240"/>
    <w:rsid w:val="00343384"/>
    <w:rsid w:val="00345C64"/>
    <w:rsid w:val="0037BB0C"/>
    <w:rsid w:val="00385AF5"/>
    <w:rsid w:val="00392F45"/>
    <w:rsid w:val="0039D1B5"/>
    <w:rsid w:val="003C7266"/>
    <w:rsid w:val="004017FB"/>
    <w:rsid w:val="004629CB"/>
    <w:rsid w:val="0046672D"/>
    <w:rsid w:val="00484E49"/>
    <w:rsid w:val="004A0C8C"/>
    <w:rsid w:val="004B313F"/>
    <w:rsid w:val="005633C7"/>
    <w:rsid w:val="00565C18"/>
    <w:rsid w:val="00595B0C"/>
    <w:rsid w:val="005A41B4"/>
    <w:rsid w:val="005B4AD4"/>
    <w:rsid w:val="005B5D9D"/>
    <w:rsid w:val="005C6631"/>
    <w:rsid w:val="005C730A"/>
    <w:rsid w:val="005D598F"/>
    <w:rsid w:val="006246F0"/>
    <w:rsid w:val="006407F9"/>
    <w:rsid w:val="006661DE"/>
    <w:rsid w:val="00696890"/>
    <w:rsid w:val="006A08E6"/>
    <w:rsid w:val="006BF0C1"/>
    <w:rsid w:val="006D41B1"/>
    <w:rsid w:val="006E5A4F"/>
    <w:rsid w:val="00703A7D"/>
    <w:rsid w:val="00723365"/>
    <w:rsid w:val="0077578E"/>
    <w:rsid w:val="007958AA"/>
    <w:rsid w:val="0079621E"/>
    <w:rsid w:val="007B2EDE"/>
    <w:rsid w:val="007C64A3"/>
    <w:rsid w:val="007E254A"/>
    <w:rsid w:val="007F1AC7"/>
    <w:rsid w:val="008020C0"/>
    <w:rsid w:val="0083381A"/>
    <w:rsid w:val="00839E45"/>
    <w:rsid w:val="00840047"/>
    <w:rsid w:val="00894A05"/>
    <w:rsid w:val="008D739C"/>
    <w:rsid w:val="008E3709"/>
    <w:rsid w:val="008E7841"/>
    <w:rsid w:val="008F7579"/>
    <w:rsid w:val="00922049"/>
    <w:rsid w:val="009642E0"/>
    <w:rsid w:val="00967B6D"/>
    <w:rsid w:val="00970B29"/>
    <w:rsid w:val="009F373A"/>
    <w:rsid w:val="00A1814C"/>
    <w:rsid w:val="00A2358B"/>
    <w:rsid w:val="00A3778A"/>
    <w:rsid w:val="00A7611C"/>
    <w:rsid w:val="00A963B7"/>
    <w:rsid w:val="00AC2318"/>
    <w:rsid w:val="00AC6DB3"/>
    <w:rsid w:val="00AD648C"/>
    <w:rsid w:val="00AF0A6F"/>
    <w:rsid w:val="00B470C6"/>
    <w:rsid w:val="00B5111F"/>
    <w:rsid w:val="00B676CE"/>
    <w:rsid w:val="00B91A5A"/>
    <w:rsid w:val="00B9A7B7"/>
    <w:rsid w:val="00BD6C11"/>
    <w:rsid w:val="00C10991"/>
    <w:rsid w:val="00C478B5"/>
    <w:rsid w:val="00C52B0E"/>
    <w:rsid w:val="00C533B0"/>
    <w:rsid w:val="00C817CC"/>
    <w:rsid w:val="00C8206D"/>
    <w:rsid w:val="00CA557F"/>
    <w:rsid w:val="00D13777"/>
    <w:rsid w:val="00D30E9E"/>
    <w:rsid w:val="00D448BC"/>
    <w:rsid w:val="00D751D6"/>
    <w:rsid w:val="00DC5644"/>
    <w:rsid w:val="00DD68FE"/>
    <w:rsid w:val="00E054DE"/>
    <w:rsid w:val="00E06CE5"/>
    <w:rsid w:val="00E11992"/>
    <w:rsid w:val="00E1280F"/>
    <w:rsid w:val="00E16670"/>
    <w:rsid w:val="00E52D38"/>
    <w:rsid w:val="00E57A19"/>
    <w:rsid w:val="00E5FA7D"/>
    <w:rsid w:val="00E62D63"/>
    <w:rsid w:val="00E70B0E"/>
    <w:rsid w:val="00E802B5"/>
    <w:rsid w:val="00E85F6D"/>
    <w:rsid w:val="00EC18E9"/>
    <w:rsid w:val="00EC299C"/>
    <w:rsid w:val="00EC505D"/>
    <w:rsid w:val="00EC808D"/>
    <w:rsid w:val="00EF0888"/>
    <w:rsid w:val="00EF464C"/>
    <w:rsid w:val="00F2272E"/>
    <w:rsid w:val="00F26955"/>
    <w:rsid w:val="00F318B8"/>
    <w:rsid w:val="00F50C6C"/>
    <w:rsid w:val="00F75D8E"/>
    <w:rsid w:val="00F82C37"/>
    <w:rsid w:val="00F83906"/>
    <w:rsid w:val="00F83FA6"/>
    <w:rsid w:val="00FB4447"/>
    <w:rsid w:val="00FD0233"/>
    <w:rsid w:val="01179EF9"/>
    <w:rsid w:val="0139D4C9"/>
    <w:rsid w:val="014A7398"/>
    <w:rsid w:val="0159BBE2"/>
    <w:rsid w:val="016AF054"/>
    <w:rsid w:val="01865424"/>
    <w:rsid w:val="01965D9C"/>
    <w:rsid w:val="01C2A0BD"/>
    <w:rsid w:val="01D0D2AB"/>
    <w:rsid w:val="01D31C94"/>
    <w:rsid w:val="021789DA"/>
    <w:rsid w:val="0219FC54"/>
    <w:rsid w:val="02261354"/>
    <w:rsid w:val="022EC8D7"/>
    <w:rsid w:val="0235D763"/>
    <w:rsid w:val="023616C6"/>
    <w:rsid w:val="023A2043"/>
    <w:rsid w:val="024499B2"/>
    <w:rsid w:val="024F581C"/>
    <w:rsid w:val="025631FF"/>
    <w:rsid w:val="026B31E1"/>
    <w:rsid w:val="02709430"/>
    <w:rsid w:val="027C0682"/>
    <w:rsid w:val="02829008"/>
    <w:rsid w:val="02837D75"/>
    <w:rsid w:val="02974795"/>
    <w:rsid w:val="02B29FF2"/>
    <w:rsid w:val="02C768B3"/>
    <w:rsid w:val="02D5DB6A"/>
    <w:rsid w:val="02E462B3"/>
    <w:rsid w:val="02E9393C"/>
    <w:rsid w:val="02F61C38"/>
    <w:rsid w:val="02F7B8A4"/>
    <w:rsid w:val="030C69F3"/>
    <w:rsid w:val="0310EC0C"/>
    <w:rsid w:val="0320F0AF"/>
    <w:rsid w:val="033E577A"/>
    <w:rsid w:val="034CF5A9"/>
    <w:rsid w:val="0359F5B4"/>
    <w:rsid w:val="035B990C"/>
    <w:rsid w:val="038885EE"/>
    <w:rsid w:val="038A406B"/>
    <w:rsid w:val="038AD154"/>
    <w:rsid w:val="03A28455"/>
    <w:rsid w:val="03C140DB"/>
    <w:rsid w:val="03C18CBB"/>
    <w:rsid w:val="03CAE4A8"/>
    <w:rsid w:val="03CF60FE"/>
    <w:rsid w:val="03D24E51"/>
    <w:rsid w:val="03D6DD3B"/>
    <w:rsid w:val="03DF7E96"/>
    <w:rsid w:val="03E1E0D9"/>
    <w:rsid w:val="03F78206"/>
    <w:rsid w:val="040425BB"/>
    <w:rsid w:val="04115AB3"/>
    <w:rsid w:val="042433E9"/>
    <w:rsid w:val="0433B5AB"/>
    <w:rsid w:val="043F9D02"/>
    <w:rsid w:val="044523C7"/>
    <w:rsid w:val="046B384D"/>
    <w:rsid w:val="046B7CC5"/>
    <w:rsid w:val="047B8B2E"/>
    <w:rsid w:val="0486F7FE"/>
    <w:rsid w:val="04A9E8ED"/>
    <w:rsid w:val="04B4EE81"/>
    <w:rsid w:val="04B7BC57"/>
    <w:rsid w:val="04BAAD41"/>
    <w:rsid w:val="04C1C0E1"/>
    <w:rsid w:val="04DB1BC7"/>
    <w:rsid w:val="04F09EB7"/>
    <w:rsid w:val="04FC5263"/>
    <w:rsid w:val="05027A6A"/>
    <w:rsid w:val="050BA283"/>
    <w:rsid w:val="050E3047"/>
    <w:rsid w:val="051C0454"/>
    <w:rsid w:val="051CEBD0"/>
    <w:rsid w:val="05377A16"/>
    <w:rsid w:val="05397694"/>
    <w:rsid w:val="056A9607"/>
    <w:rsid w:val="05709EE2"/>
    <w:rsid w:val="057C0DE7"/>
    <w:rsid w:val="057E410F"/>
    <w:rsid w:val="058BA4C1"/>
    <w:rsid w:val="0594C3E1"/>
    <w:rsid w:val="059A605F"/>
    <w:rsid w:val="05A4F02F"/>
    <w:rsid w:val="05A50241"/>
    <w:rsid w:val="05C5C639"/>
    <w:rsid w:val="05D5C828"/>
    <w:rsid w:val="05DBCE73"/>
    <w:rsid w:val="05E4388F"/>
    <w:rsid w:val="05EE741B"/>
    <w:rsid w:val="0603C4C0"/>
    <w:rsid w:val="062763A4"/>
    <w:rsid w:val="062923A3"/>
    <w:rsid w:val="062ADD82"/>
    <w:rsid w:val="0630120E"/>
    <w:rsid w:val="0630D5D0"/>
    <w:rsid w:val="0637DDAF"/>
    <w:rsid w:val="064A965D"/>
    <w:rsid w:val="064C2394"/>
    <w:rsid w:val="066DB585"/>
    <w:rsid w:val="068871BA"/>
    <w:rsid w:val="06A5FC8B"/>
    <w:rsid w:val="06A83E35"/>
    <w:rsid w:val="06C12614"/>
    <w:rsid w:val="06C74B55"/>
    <w:rsid w:val="06D5CC42"/>
    <w:rsid w:val="06F4B1D4"/>
    <w:rsid w:val="0713619E"/>
    <w:rsid w:val="0713AA84"/>
    <w:rsid w:val="071CC643"/>
    <w:rsid w:val="071EE868"/>
    <w:rsid w:val="0738BB68"/>
    <w:rsid w:val="07455571"/>
    <w:rsid w:val="0752CCD0"/>
    <w:rsid w:val="0755C817"/>
    <w:rsid w:val="075D4130"/>
    <w:rsid w:val="07654B46"/>
    <w:rsid w:val="077EAE6B"/>
    <w:rsid w:val="07807241"/>
    <w:rsid w:val="07A04B27"/>
    <w:rsid w:val="07C806AA"/>
    <w:rsid w:val="07D4F19B"/>
    <w:rsid w:val="07F948A9"/>
    <w:rsid w:val="08054F0B"/>
    <w:rsid w:val="08130AFD"/>
    <w:rsid w:val="08196894"/>
    <w:rsid w:val="081E0250"/>
    <w:rsid w:val="0843BB45"/>
    <w:rsid w:val="0844D45B"/>
    <w:rsid w:val="085AC823"/>
    <w:rsid w:val="08603584"/>
    <w:rsid w:val="086A8FD5"/>
    <w:rsid w:val="08708EF5"/>
    <w:rsid w:val="0885F6BF"/>
    <w:rsid w:val="0890C9B2"/>
    <w:rsid w:val="08990021"/>
    <w:rsid w:val="089A0455"/>
    <w:rsid w:val="08B22B04"/>
    <w:rsid w:val="08C24D7A"/>
    <w:rsid w:val="08C4A8AE"/>
    <w:rsid w:val="08C69CBE"/>
    <w:rsid w:val="08C940C5"/>
    <w:rsid w:val="08D423EF"/>
    <w:rsid w:val="08D52202"/>
    <w:rsid w:val="08D6D6EC"/>
    <w:rsid w:val="08E73382"/>
    <w:rsid w:val="08EE762E"/>
    <w:rsid w:val="08F2A8DE"/>
    <w:rsid w:val="08FEFEF9"/>
    <w:rsid w:val="091154C8"/>
    <w:rsid w:val="093D7D62"/>
    <w:rsid w:val="094F7DF1"/>
    <w:rsid w:val="0952DC52"/>
    <w:rsid w:val="095929FF"/>
    <w:rsid w:val="09613613"/>
    <w:rsid w:val="0965E94E"/>
    <w:rsid w:val="096A4D9B"/>
    <w:rsid w:val="0996A261"/>
    <w:rsid w:val="099EFD2A"/>
    <w:rsid w:val="09A53FA3"/>
    <w:rsid w:val="09AB8D73"/>
    <w:rsid w:val="09DBE1B5"/>
    <w:rsid w:val="09DDDE13"/>
    <w:rsid w:val="09E26A83"/>
    <w:rsid w:val="09FFA6E0"/>
    <w:rsid w:val="0A044335"/>
    <w:rsid w:val="0A1374AB"/>
    <w:rsid w:val="0A1A8313"/>
    <w:rsid w:val="0A2A7F3B"/>
    <w:rsid w:val="0A36C300"/>
    <w:rsid w:val="0A42117F"/>
    <w:rsid w:val="0A552B44"/>
    <w:rsid w:val="0A5D0790"/>
    <w:rsid w:val="0A870800"/>
    <w:rsid w:val="0A940902"/>
    <w:rsid w:val="0A9FCCCC"/>
    <w:rsid w:val="0ACF0125"/>
    <w:rsid w:val="0B05CC9F"/>
    <w:rsid w:val="0B07BF38"/>
    <w:rsid w:val="0B245D28"/>
    <w:rsid w:val="0B35087C"/>
    <w:rsid w:val="0B51F614"/>
    <w:rsid w:val="0B695854"/>
    <w:rsid w:val="0B739459"/>
    <w:rsid w:val="0BA3B218"/>
    <w:rsid w:val="0BC6B220"/>
    <w:rsid w:val="0BCE8F0D"/>
    <w:rsid w:val="0BE05961"/>
    <w:rsid w:val="0BFC4D63"/>
    <w:rsid w:val="0C165270"/>
    <w:rsid w:val="0C19C05C"/>
    <w:rsid w:val="0C1C2301"/>
    <w:rsid w:val="0C1CCDE0"/>
    <w:rsid w:val="0C205396"/>
    <w:rsid w:val="0C35F769"/>
    <w:rsid w:val="0C376B65"/>
    <w:rsid w:val="0C3BBF1C"/>
    <w:rsid w:val="0C4BFBDA"/>
    <w:rsid w:val="0C66FF3F"/>
    <w:rsid w:val="0CAEF2C0"/>
    <w:rsid w:val="0CCE7A06"/>
    <w:rsid w:val="0CE71BB8"/>
    <w:rsid w:val="0CE91560"/>
    <w:rsid w:val="0CECFE5F"/>
    <w:rsid w:val="0CF73E18"/>
    <w:rsid w:val="0CFDB04A"/>
    <w:rsid w:val="0D06BDB1"/>
    <w:rsid w:val="0D10CF8E"/>
    <w:rsid w:val="0D11196F"/>
    <w:rsid w:val="0D11C1CE"/>
    <w:rsid w:val="0D1BDAE7"/>
    <w:rsid w:val="0D23183A"/>
    <w:rsid w:val="0D44BF9E"/>
    <w:rsid w:val="0D50C0AE"/>
    <w:rsid w:val="0D64E961"/>
    <w:rsid w:val="0D6E7137"/>
    <w:rsid w:val="0D811DAE"/>
    <w:rsid w:val="0D83BAC3"/>
    <w:rsid w:val="0D8985BA"/>
    <w:rsid w:val="0D91B15D"/>
    <w:rsid w:val="0DACD783"/>
    <w:rsid w:val="0DB02BAE"/>
    <w:rsid w:val="0DB62324"/>
    <w:rsid w:val="0DBA2D38"/>
    <w:rsid w:val="0DCE91F3"/>
    <w:rsid w:val="0DD9D85F"/>
    <w:rsid w:val="0DF0B2D1"/>
    <w:rsid w:val="0E0BD87C"/>
    <w:rsid w:val="0E12BA77"/>
    <w:rsid w:val="0E17FB60"/>
    <w:rsid w:val="0E20151A"/>
    <w:rsid w:val="0E2A4E71"/>
    <w:rsid w:val="0E691A13"/>
    <w:rsid w:val="0E6B4142"/>
    <w:rsid w:val="0E7B86AF"/>
    <w:rsid w:val="0E7E17FF"/>
    <w:rsid w:val="0E84B4B6"/>
    <w:rsid w:val="0E977E99"/>
    <w:rsid w:val="0E9D7ECC"/>
    <w:rsid w:val="0EA65B60"/>
    <w:rsid w:val="0EAB6012"/>
    <w:rsid w:val="0EAD7DF8"/>
    <w:rsid w:val="0EB92AD2"/>
    <w:rsid w:val="0EBAB2BE"/>
    <w:rsid w:val="0ED5F642"/>
    <w:rsid w:val="0EE4DEF3"/>
    <w:rsid w:val="0EE4F517"/>
    <w:rsid w:val="0F09223C"/>
    <w:rsid w:val="0F5E361B"/>
    <w:rsid w:val="0F795276"/>
    <w:rsid w:val="0F7F6E8E"/>
    <w:rsid w:val="0F876DA3"/>
    <w:rsid w:val="0F913169"/>
    <w:rsid w:val="0FA7DF6C"/>
    <w:rsid w:val="0FCA49F1"/>
    <w:rsid w:val="0FDF2F95"/>
    <w:rsid w:val="0FEAB4DD"/>
    <w:rsid w:val="0FEF9CC4"/>
    <w:rsid w:val="0FF752AE"/>
    <w:rsid w:val="100CD946"/>
    <w:rsid w:val="100E14C3"/>
    <w:rsid w:val="1023750F"/>
    <w:rsid w:val="102564BB"/>
    <w:rsid w:val="102F64AD"/>
    <w:rsid w:val="1030476D"/>
    <w:rsid w:val="103473E2"/>
    <w:rsid w:val="10389BC7"/>
    <w:rsid w:val="103C3BA7"/>
    <w:rsid w:val="103E7DC5"/>
    <w:rsid w:val="104DA1FD"/>
    <w:rsid w:val="105AE110"/>
    <w:rsid w:val="105D1146"/>
    <w:rsid w:val="10664E98"/>
    <w:rsid w:val="1070F691"/>
    <w:rsid w:val="108CCC0E"/>
    <w:rsid w:val="109FD7BC"/>
    <w:rsid w:val="10B21785"/>
    <w:rsid w:val="10CD63E0"/>
    <w:rsid w:val="10D69E7D"/>
    <w:rsid w:val="10DCD018"/>
    <w:rsid w:val="10F2546B"/>
    <w:rsid w:val="1105EE39"/>
    <w:rsid w:val="110F3E82"/>
    <w:rsid w:val="1124B369"/>
    <w:rsid w:val="112D168E"/>
    <w:rsid w:val="1139130B"/>
    <w:rsid w:val="114F7BC4"/>
    <w:rsid w:val="115411EC"/>
    <w:rsid w:val="11604063"/>
    <w:rsid w:val="118CAC83"/>
    <w:rsid w:val="1193C325"/>
    <w:rsid w:val="11B1F3CE"/>
    <w:rsid w:val="11B318CA"/>
    <w:rsid w:val="11F83D12"/>
    <w:rsid w:val="123205EA"/>
    <w:rsid w:val="123E5950"/>
    <w:rsid w:val="123FDF89"/>
    <w:rsid w:val="12442BC6"/>
    <w:rsid w:val="1245EBEA"/>
    <w:rsid w:val="127912A7"/>
    <w:rsid w:val="1291F1CD"/>
    <w:rsid w:val="12A50342"/>
    <w:rsid w:val="12B98380"/>
    <w:rsid w:val="12BFE0E2"/>
    <w:rsid w:val="12C41FB2"/>
    <w:rsid w:val="12C5C8E8"/>
    <w:rsid w:val="12CBB3F5"/>
    <w:rsid w:val="12DDC5E6"/>
    <w:rsid w:val="12F427C5"/>
    <w:rsid w:val="1304E428"/>
    <w:rsid w:val="130C1C9B"/>
    <w:rsid w:val="1321E0F4"/>
    <w:rsid w:val="132AC2C6"/>
    <w:rsid w:val="13463D05"/>
    <w:rsid w:val="1348DE9B"/>
    <w:rsid w:val="13511B56"/>
    <w:rsid w:val="135FEC5B"/>
    <w:rsid w:val="136AAD92"/>
    <w:rsid w:val="1373064C"/>
    <w:rsid w:val="13958B46"/>
    <w:rsid w:val="1396994E"/>
    <w:rsid w:val="13A4E8CF"/>
    <w:rsid w:val="13C054AD"/>
    <w:rsid w:val="13E35024"/>
    <w:rsid w:val="13ED7783"/>
    <w:rsid w:val="13FA758E"/>
    <w:rsid w:val="14158454"/>
    <w:rsid w:val="1429E41A"/>
    <w:rsid w:val="1449093C"/>
    <w:rsid w:val="14490B54"/>
    <w:rsid w:val="1474BE0B"/>
    <w:rsid w:val="147B1874"/>
    <w:rsid w:val="14818BAD"/>
    <w:rsid w:val="14869AFC"/>
    <w:rsid w:val="1486B916"/>
    <w:rsid w:val="148B6764"/>
    <w:rsid w:val="14A3C436"/>
    <w:rsid w:val="14BA992A"/>
    <w:rsid w:val="14CA8F06"/>
    <w:rsid w:val="14DF6504"/>
    <w:rsid w:val="14E66485"/>
    <w:rsid w:val="150D54EE"/>
    <w:rsid w:val="151E0026"/>
    <w:rsid w:val="153F0666"/>
    <w:rsid w:val="155FC6F9"/>
    <w:rsid w:val="1564060C"/>
    <w:rsid w:val="15642D99"/>
    <w:rsid w:val="1565D37A"/>
    <w:rsid w:val="156A1C80"/>
    <w:rsid w:val="156F79A9"/>
    <w:rsid w:val="157B732C"/>
    <w:rsid w:val="15A60098"/>
    <w:rsid w:val="15ACC66E"/>
    <w:rsid w:val="15AD8143"/>
    <w:rsid w:val="15AD8A16"/>
    <w:rsid w:val="15B18615"/>
    <w:rsid w:val="15CB84C8"/>
    <w:rsid w:val="15CEBF19"/>
    <w:rsid w:val="15CF7873"/>
    <w:rsid w:val="15DA59DC"/>
    <w:rsid w:val="15F18664"/>
    <w:rsid w:val="15F9D762"/>
    <w:rsid w:val="16052D61"/>
    <w:rsid w:val="160C9695"/>
    <w:rsid w:val="1611844E"/>
    <w:rsid w:val="162120AB"/>
    <w:rsid w:val="1631DED8"/>
    <w:rsid w:val="16340FFA"/>
    <w:rsid w:val="163E84D6"/>
    <w:rsid w:val="1658CA1C"/>
    <w:rsid w:val="1658CB9F"/>
    <w:rsid w:val="165D2BF8"/>
    <w:rsid w:val="16643A5C"/>
    <w:rsid w:val="166A26FE"/>
    <w:rsid w:val="166A5211"/>
    <w:rsid w:val="16749163"/>
    <w:rsid w:val="1682B2DC"/>
    <w:rsid w:val="168D1559"/>
    <w:rsid w:val="1696CC80"/>
    <w:rsid w:val="16CB9326"/>
    <w:rsid w:val="16E1D9FE"/>
    <w:rsid w:val="17016D2F"/>
    <w:rsid w:val="1702F92A"/>
    <w:rsid w:val="1716E854"/>
    <w:rsid w:val="1720F951"/>
    <w:rsid w:val="17387C56"/>
    <w:rsid w:val="174962FB"/>
    <w:rsid w:val="176238B1"/>
    <w:rsid w:val="1766EA4C"/>
    <w:rsid w:val="176D9335"/>
    <w:rsid w:val="176F6AF8"/>
    <w:rsid w:val="17723C69"/>
    <w:rsid w:val="17856D25"/>
    <w:rsid w:val="17869D46"/>
    <w:rsid w:val="178AA622"/>
    <w:rsid w:val="17955CDD"/>
    <w:rsid w:val="17B92AE0"/>
    <w:rsid w:val="17BE3B1B"/>
    <w:rsid w:val="17CB80F2"/>
    <w:rsid w:val="17CF0F2A"/>
    <w:rsid w:val="17CFA0DA"/>
    <w:rsid w:val="17DD8207"/>
    <w:rsid w:val="17E64085"/>
    <w:rsid w:val="17E7B5AD"/>
    <w:rsid w:val="17ECE3A7"/>
    <w:rsid w:val="17F5F1A4"/>
    <w:rsid w:val="17F62DF9"/>
    <w:rsid w:val="17F64B43"/>
    <w:rsid w:val="183CACB0"/>
    <w:rsid w:val="1842D52C"/>
    <w:rsid w:val="1844B514"/>
    <w:rsid w:val="185DCD06"/>
    <w:rsid w:val="187A5085"/>
    <w:rsid w:val="187CF0B9"/>
    <w:rsid w:val="18864A1C"/>
    <w:rsid w:val="188849CA"/>
    <w:rsid w:val="1889CCBD"/>
    <w:rsid w:val="18AD6EBE"/>
    <w:rsid w:val="18DB6EBA"/>
    <w:rsid w:val="18DFF87B"/>
    <w:rsid w:val="1924B5AD"/>
    <w:rsid w:val="192B0EE2"/>
    <w:rsid w:val="19339EDF"/>
    <w:rsid w:val="195769C0"/>
    <w:rsid w:val="195F68E1"/>
    <w:rsid w:val="19721E62"/>
    <w:rsid w:val="1984542F"/>
    <w:rsid w:val="199253BC"/>
    <w:rsid w:val="199EFB3C"/>
    <w:rsid w:val="19A0E4D7"/>
    <w:rsid w:val="19A141C0"/>
    <w:rsid w:val="19E2AAC2"/>
    <w:rsid w:val="19E5B02B"/>
    <w:rsid w:val="1A2CBAF0"/>
    <w:rsid w:val="1A466469"/>
    <w:rsid w:val="1A5805E4"/>
    <w:rsid w:val="1A692006"/>
    <w:rsid w:val="1A6C2E6E"/>
    <w:rsid w:val="1A6DBFB8"/>
    <w:rsid w:val="1A7B3C53"/>
    <w:rsid w:val="1A9007CB"/>
    <w:rsid w:val="1A979452"/>
    <w:rsid w:val="1A9B02B8"/>
    <w:rsid w:val="1AB4097B"/>
    <w:rsid w:val="1AC3822F"/>
    <w:rsid w:val="1ACF4F62"/>
    <w:rsid w:val="1AD2BC12"/>
    <w:rsid w:val="1ADD7814"/>
    <w:rsid w:val="1AEA2F07"/>
    <w:rsid w:val="1AED4BA6"/>
    <w:rsid w:val="1B059A0A"/>
    <w:rsid w:val="1B0A84EA"/>
    <w:rsid w:val="1B0AAA0F"/>
    <w:rsid w:val="1B0E0E27"/>
    <w:rsid w:val="1B1A14EF"/>
    <w:rsid w:val="1B391785"/>
    <w:rsid w:val="1B3C63C6"/>
    <w:rsid w:val="1B4FAB40"/>
    <w:rsid w:val="1B4FC9D2"/>
    <w:rsid w:val="1B88AE5C"/>
    <w:rsid w:val="1B8DDDD8"/>
    <w:rsid w:val="1BC50268"/>
    <w:rsid w:val="1BCB4113"/>
    <w:rsid w:val="1BE28F3D"/>
    <w:rsid w:val="1BEE193C"/>
    <w:rsid w:val="1C02F57C"/>
    <w:rsid w:val="1C22C975"/>
    <w:rsid w:val="1C2501EA"/>
    <w:rsid w:val="1C2A4171"/>
    <w:rsid w:val="1C2E74B1"/>
    <w:rsid w:val="1C49C670"/>
    <w:rsid w:val="1C5DB825"/>
    <w:rsid w:val="1C6AF672"/>
    <w:rsid w:val="1C8FB7B0"/>
    <w:rsid w:val="1C92BA9D"/>
    <w:rsid w:val="1CBA911C"/>
    <w:rsid w:val="1CCFCFCC"/>
    <w:rsid w:val="1CD04993"/>
    <w:rsid w:val="1CEDBC05"/>
    <w:rsid w:val="1CF5E637"/>
    <w:rsid w:val="1D390D98"/>
    <w:rsid w:val="1D3AC4AC"/>
    <w:rsid w:val="1D4E223E"/>
    <w:rsid w:val="1D5B68C1"/>
    <w:rsid w:val="1D630EB6"/>
    <w:rsid w:val="1D684B87"/>
    <w:rsid w:val="1D7EA980"/>
    <w:rsid w:val="1D99F53A"/>
    <w:rsid w:val="1D9D4A5F"/>
    <w:rsid w:val="1DBC1549"/>
    <w:rsid w:val="1DC8D718"/>
    <w:rsid w:val="1DC8E36C"/>
    <w:rsid w:val="1DD34ED8"/>
    <w:rsid w:val="1DDDEE82"/>
    <w:rsid w:val="1DDFB799"/>
    <w:rsid w:val="1DEC190E"/>
    <w:rsid w:val="1DEDAAD1"/>
    <w:rsid w:val="1DF2337C"/>
    <w:rsid w:val="1DF283B2"/>
    <w:rsid w:val="1DFDE950"/>
    <w:rsid w:val="1E2D5884"/>
    <w:rsid w:val="1E496FC5"/>
    <w:rsid w:val="1E4C52B1"/>
    <w:rsid w:val="1E6B7804"/>
    <w:rsid w:val="1E6E4656"/>
    <w:rsid w:val="1E87FBEA"/>
    <w:rsid w:val="1E8A336D"/>
    <w:rsid w:val="1EA7B0B8"/>
    <w:rsid w:val="1ECEAC23"/>
    <w:rsid w:val="1ECF005A"/>
    <w:rsid w:val="1EDB4073"/>
    <w:rsid w:val="1EE83902"/>
    <w:rsid w:val="1EF142D9"/>
    <w:rsid w:val="1EFA91FA"/>
    <w:rsid w:val="1F46C9B7"/>
    <w:rsid w:val="1F5099D0"/>
    <w:rsid w:val="1F5527C7"/>
    <w:rsid w:val="1F7035EA"/>
    <w:rsid w:val="1F9220AD"/>
    <w:rsid w:val="1FA00CD9"/>
    <w:rsid w:val="1FA0189D"/>
    <w:rsid w:val="1FA3FE46"/>
    <w:rsid w:val="1FD8BA5F"/>
    <w:rsid w:val="1FDFD238"/>
    <w:rsid w:val="2008DE05"/>
    <w:rsid w:val="2030ECBE"/>
    <w:rsid w:val="2034FF4B"/>
    <w:rsid w:val="2035F0C7"/>
    <w:rsid w:val="207C805A"/>
    <w:rsid w:val="20B0F332"/>
    <w:rsid w:val="20C6317F"/>
    <w:rsid w:val="20DCE422"/>
    <w:rsid w:val="20E1A32F"/>
    <w:rsid w:val="20E1DD50"/>
    <w:rsid w:val="20F22F5B"/>
    <w:rsid w:val="20FE0513"/>
    <w:rsid w:val="2101F879"/>
    <w:rsid w:val="212067F8"/>
    <w:rsid w:val="215051D3"/>
    <w:rsid w:val="2171104B"/>
    <w:rsid w:val="217636DB"/>
    <w:rsid w:val="218AC26B"/>
    <w:rsid w:val="21B8489B"/>
    <w:rsid w:val="21DA865B"/>
    <w:rsid w:val="21EF6CBA"/>
    <w:rsid w:val="21F8C2C1"/>
    <w:rsid w:val="21FADFD0"/>
    <w:rsid w:val="222F068F"/>
    <w:rsid w:val="223FD05E"/>
    <w:rsid w:val="22444ACE"/>
    <w:rsid w:val="225D5726"/>
    <w:rsid w:val="2276FB55"/>
    <w:rsid w:val="228CD77C"/>
    <w:rsid w:val="228E268E"/>
    <w:rsid w:val="22CD44B3"/>
    <w:rsid w:val="22D37300"/>
    <w:rsid w:val="22D5D6C8"/>
    <w:rsid w:val="22F21F34"/>
    <w:rsid w:val="22F33DDB"/>
    <w:rsid w:val="22F74CF3"/>
    <w:rsid w:val="22F99C47"/>
    <w:rsid w:val="230D2F10"/>
    <w:rsid w:val="2313D25D"/>
    <w:rsid w:val="231D8934"/>
    <w:rsid w:val="2325077C"/>
    <w:rsid w:val="23295C9D"/>
    <w:rsid w:val="2331CFD1"/>
    <w:rsid w:val="233480F1"/>
    <w:rsid w:val="2339F4E1"/>
    <w:rsid w:val="233E9D49"/>
    <w:rsid w:val="2357A873"/>
    <w:rsid w:val="2369FD38"/>
    <w:rsid w:val="2386C1F8"/>
    <w:rsid w:val="238DE215"/>
    <w:rsid w:val="238E0E35"/>
    <w:rsid w:val="239E800C"/>
    <w:rsid w:val="23B78A03"/>
    <w:rsid w:val="23C07103"/>
    <w:rsid w:val="23CC0E90"/>
    <w:rsid w:val="23E8A773"/>
    <w:rsid w:val="240EE44F"/>
    <w:rsid w:val="2411DE0D"/>
    <w:rsid w:val="241FB7B3"/>
    <w:rsid w:val="2441E179"/>
    <w:rsid w:val="24481D7B"/>
    <w:rsid w:val="2466A874"/>
    <w:rsid w:val="246AE341"/>
    <w:rsid w:val="247039B1"/>
    <w:rsid w:val="24749E0F"/>
    <w:rsid w:val="24A4D93B"/>
    <w:rsid w:val="24AB9E53"/>
    <w:rsid w:val="24BD028C"/>
    <w:rsid w:val="24C6E991"/>
    <w:rsid w:val="24D46280"/>
    <w:rsid w:val="24E16E22"/>
    <w:rsid w:val="2503AD29"/>
    <w:rsid w:val="25046B8F"/>
    <w:rsid w:val="250B842C"/>
    <w:rsid w:val="252CFEEE"/>
    <w:rsid w:val="252D158D"/>
    <w:rsid w:val="253139B3"/>
    <w:rsid w:val="2537D0B2"/>
    <w:rsid w:val="254C4033"/>
    <w:rsid w:val="25579E21"/>
    <w:rsid w:val="255854FE"/>
    <w:rsid w:val="259DA45C"/>
    <w:rsid w:val="25A22E21"/>
    <w:rsid w:val="25B69F4D"/>
    <w:rsid w:val="25CC58FF"/>
    <w:rsid w:val="25DA1BF1"/>
    <w:rsid w:val="25DF56E2"/>
    <w:rsid w:val="25EA10EA"/>
    <w:rsid w:val="26028ECE"/>
    <w:rsid w:val="260BEDD1"/>
    <w:rsid w:val="260D2CE7"/>
    <w:rsid w:val="26127368"/>
    <w:rsid w:val="262255C4"/>
    <w:rsid w:val="26250BFC"/>
    <w:rsid w:val="2627E877"/>
    <w:rsid w:val="26356033"/>
    <w:rsid w:val="264610D7"/>
    <w:rsid w:val="265965AA"/>
    <w:rsid w:val="26630D42"/>
    <w:rsid w:val="26669CB5"/>
    <w:rsid w:val="268280AB"/>
    <w:rsid w:val="2682E840"/>
    <w:rsid w:val="26855532"/>
    <w:rsid w:val="268EA9C6"/>
    <w:rsid w:val="26A7E7C9"/>
    <w:rsid w:val="26BBCD8B"/>
    <w:rsid w:val="26D528F6"/>
    <w:rsid w:val="26E8AF46"/>
    <w:rsid w:val="26F6B787"/>
    <w:rsid w:val="26FB738B"/>
    <w:rsid w:val="27140BDC"/>
    <w:rsid w:val="2717C5FA"/>
    <w:rsid w:val="2719B618"/>
    <w:rsid w:val="272D264A"/>
    <w:rsid w:val="2751B273"/>
    <w:rsid w:val="276A752F"/>
    <w:rsid w:val="276E8508"/>
    <w:rsid w:val="276F47CF"/>
    <w:rsid w:val="2776FE61"/>
    <w:rsid w:val="278874C8"/>
    <w:rsid w:val="27BD3EAC"/>
    <w:rsid w:val="27DF0012"/>
    <w:rsid w:val="27FB7D21"/>
    <w:rsid w:val="2801ACD6"/>
    <w:rsid w:val="280AB8AD"/>
    <w:rsid w:val="281A8393"/>
    <w:rsid w:val="2831C044"/>
    <w:rsid w:val="283FE3B9"/>
    <w:rsid w:val="284B01C3"/>
    <w:rsid w:val="284C6F00"/>
    <w:rsid w:val="288121D8"/>
    <w:rsid w:val="288855AF"/>
    <w:rsid w:val="2895757E"/>
    <w:rsid w:val="28A702D9"/>
    <w:rsid w:val="28B67FB8"/>
    <w:rsid w:val="28B6B13F"/>
    <w:rsid w:val="28C1C4EA"/>
    <w:rsid w:val="28CE332D"/>
    <w:rsid w:val="28D95F6C"/>
    <w:rsid w:val="28D9C05E"/>
    <w:rsid w:val="28F1D8B7"/>
    <w:rsid w:val="291A8579"/>
    <w:rsid w:val="291AB78D"/>
    <w:rsid w:val="291C5C3F"/>
    <w:rsid w:val="29245562"/>
    <w:rsid w:val="2949A450"/>
    <w:rsid w:val="294BF538"/>
    <w:rsid w:val="2952FC8A"/>
    <w:rsid w:val="295F3B63"/>
    <w:rsid w:val="29650D70"/>
    <w:rsid w:val="29699091"/>
    <w:rsid w:val="2995627B"/>
    <w:rsid w:val="29A8B524"/>
    <w:rsid w:val="29B61587"/>
    <w:rsid w:val="29B889AD"/>
    <w:rsid w:val="29DCB049"/>
    <w:rsid w:val="29E55729"/>
    <w:rsid w:val="29EE13B6"/>
    <w:rsid w:val="29F776AF"/>
    <w:rsid w:val="2A04089B"/>
    <w:rsid w:val="2A06E62D"/>
    <w:rsid w:val="2A762BD9"/>
    <w:rsid w:val="2A9D7DB4"/>
    <w:rsid w:val="2AB3AC6E"/>
    <w:rsid w:val="2AC447C3"/>
    <w:rsid w:val="2AC6EAB3"/>
    <w:rsid w:val="2AC8F9D7"/>
    <w:rsid w:val="2AE2C303"/>
    <w:rsid w:val="2B00B287"/>
    <w:rsid w:val="2B0C1F53"/>
    <w:rsid w:val="2B112282"/>
    <w:rsid w:val="2B1F10CB"/>
    <w:rsid w:val="2B2122EE"/>
    <w:rsid w:val="2B28342E"/>
    <w:rsid w:val="2B2A604C"/>
    <w:rsid w:val="2B354F1C"/>
    <w:rsid w:val="2B38EFE0"/>
    <w:rsid w:val="2B3B6B46"/>
    <w:rsid w:val="2B458EC4"/>
    <w:rsid w:val="2B487386"/>
    <w:rsid w:val="2B50DB2B"/>
    <w:rsid w:val="2B52A102"/>
    <w:rsid w:val="2B5A7700"/>
    <w:rsid w:val="2B733DF2"/>
    <w:rsid w:val="2B8E38C8"/>
    <w:rsid w:val="2B92629D"/>
    <w:rsid w:val="2B928E62"/>
    <w:rsid w:val="2B937687"/>
    <w:rsid w:val="2BB7B275"/>
    <w:rsid w:val="2BB8B2E8"/>
    <w:rsid w:val="2BBC7BD7"/>
    <w:rsid w:val="2BD004E8"/>
    <w:rsid w:val="2BDEBB64"/>
    <w:rsid w:val="2BFD92EB"/>
    <w:rsid w:val="2BFFE01C"/>
    <w:rsid w:val="2C00D216"/>
    <w:rsid w:val="2C5149B8"/>
    <w:rsid w:val="2C67F510"/>
    <w:rsid w:val="2C6D4546"/>
    <w:rsid w:val="2C7B82B0"/>
    <w:rsid w:val="2C7EC367"/>
    <w:rsid w:val="2C8441C8"/>
    <w:rsid w:val="2C86AF0A"/>
    <w:rsid w:val="2C8BA2EB"/>
    <w:rsid w:val="2CA638BB"/>
    <w:rsid w:val="2CAD1325"/>
    <w:rsid w:val="2CC21208"/>
    <w:rsid w:val="2CD07EE2"/>
    <w:rsid w:val="2CD196F9"/>
    <w:rsid w:val="2CE3D325"/>
    <w:rsid w:val="2CED3322"/>
    <w:rsid w:val="2CED371A"/>
    <w:rsid w:val="2CF01BED"/>
    <w:rsid w:val="2D1C1A01"/>
    <w:rsid w:val="2D1CCB69"/>
    <w:rsid w:val="2D1F3640"/>
    <w:rsid w:val="2D296350"/>
    <w:rsid w:val="2D3B86D7"/>
    <w:rsid w:val="2D40E045"/>
    <w:rsid w:val="2D410436"/>
    <w:rsid w:val="2D442812"/>
    <w:rsid w:val="2D4B50CE"/>
    <w:rsid w:val="2D9520B3"/>
    <w:rsid w:val="2D96AF84"/>
    <w:rsid w:val="2D9E936B"/>
    <w:rsid w:val="2DA07954"/>
    <w:rsid w:val="2DA09B67"/>
    <w:rsid w:val="2DA45A3C"/>
    <w:rsid w:val="2DA7DEAD"/>
    <w:rsid w:val="2DAC4F23"/>
    <w:rsid w:val="2DB364E2"/>
    <w:rsid w:val="2DB6D947"/>
    <w:rsid w:val="2DC9AEE0"/>
    <w:rsid w:val="2DF1C271"/>
    <w:rsid w:val="2DF330BD"/>
    <w:rsid w:val="2E16F0A2"/>
    <w:rsid w:val="2E1FEFF3"/>
    <w:rsid w:val="2E357E88"/>
    <w:rsid w:val="2E35ABD9"/>
    <w:rsid w:val="2E4B1148"/>
    <w:rsid w:val="2E4DDAD6"/>
    <w:rsid w:val="2E4F1D67"/>
    <w:rsid w:val="2E52E960"/>
    <w:rsid w:val="2E53C9EF"/>
    <w:rsid w:val="2E5D5E5D"/>
    <w:rsid w:val="2E5F112B"/>
    <w:rsid w:val="2E83AD5D"/>
    <w:rsid w:val="2EB98A7E"/>
    <w:rsid w:val="2EBC5889"/>
    <w:rsid w:val="2EBF1F0D"/>
    <w:rsid w:val="2EC203B7"/>
    <w:rsid w:val="2ECEBBAC"/>
    <w:rsid w:val="2ED35442"/>
    <w:rsid w:val="2EDF089A"/>
    <w:rsid w:val="2EFAF45D"/>
    <w:rsid w:val="2F091C9A"/>
    <w:rsid w:val="2F09B205"/>
    <w:rsid w:val="2F11199D"/>
    <w:rsid w:val="2F145237"/>
    <w:rsid w:val="2F17C29A"/>
    <w:rsid w:val="2F21AF2A"/>
    <w:rsid w:val="2F3D89B3"/>
    <w:rsid w:val="2F3DD83B"/>
    <w:rsid w:val="2F47419E"/>
    <w:rsid w:val="2F4BF45A"/>
    <w:rsid w:val="2F4E460B"/>
    <w:rsid w:val="2F59869F"/>
    <w:rsid w:val="2F619413"/>
    <w:rsid w:val="2F6D4867"/>
    <w:rsid w:val="2F72F852"/>
    <w:rsid w:val="2F8310B0"/>
    <w:rsid w:val="2FA28900"/>
    <w:rsid w:val="2FA380ED"/>
    <w:rsid w:val="2FABE822"/>
    <w:rsid w:val="2FAC9B4A"/>
    <w:rsid w:val="2FB9C989"/>
    <w:rsid w:val="2FD3D5DC"/>
    <w:rsid w:val="2FD90898"/>
    <w:rsid w:val="2FDEEC66"/>
    <w:rsid w:val="2FF4E3B9"/>
    <w:rsid w:val="3014F57B"/>
    <w:rsid w:val="301A5304"/>
    <w:rsid w:val="3029C094"/>
    <w:rsid w:val="303129AE"/>
    <w:rsid w:val="3035391E"/>
    <w:rsid w:val="303BE503"/>
    <w:rsid w:val="3050A833"/>
    <w:rsid w:val="3067E8AA"/>
    <w:rsid w:val="306DF6A4"/>
    <w:rsid w:val="3082CA23"/>
    <w:rsid w:val="30891BFA"/>
    <w:rsid w:val="308A91F1"/>
    <w:rsid w:val="308AB3EE"/>
    <w:rsid w:val="3095A30A"/>
    <w:rsid w:val="30984034"/>
    <w:rsid w:val="309A4341"/>
    <w:rsid w:val="309F10D3"/>
    <w:rsid w:val="30A8E1BA"/>
    <w:rsid w:val="30BCEB23"/>
    <w:rsid w:val="30DF4DDB"/>
    <w:rsid w:val="30E44574"/>
    <w:rsid w:val="30F58AFA"/>
    <w:rsid w:val="30FF67FB"/>
    <w:rsid w:val="310DFEBD"/>
    <w:rsid w:val="31168635"/>
    <w:rsid w:val="3119ED5F"/>
    <w:rsid w:val="311BEC36"/>
    <w:rsid w:val="312C7FD3"/>
    <w:rsid w:val="313E02D7"/>
    <w:rsid w:val="313F338A"/>
    <w:rsid w:val="314C80D0"/>
    <w:rsid w:val="314C8D1E"/>
    <w:rsid w:val="314F9A0D"/>
    <w:rsid w:val="315D4552"/>
    <w:rsid w:val="31736084"/>
    <w:rsid w:val="318F5ED8"/>
    <w:rsid w:val="31A0DF86"/>
    <w:rsid w:val="31C29C87"/>
    <w:rsid w:val="31D29883"/>
    <w:rsid w:val="31D74E46"/>
    <w:rsid w:val="32117356"/>
    <w:rsid w:val="3211DB06"/>
    <w:rsid w:val="32123D0A"/>
    <w:rsid w:val="321976A9"/>
    <w:rsid w:val="32266C53"/>
    <w:rsid w:val="323AF466"/>
    <w:rsid w:val="324534F4"/>
    <w:rsid w:val="324F358C"/>
    <w:rsid w:val="32595F1A"/>
    <w:rsid w:val="325B5FFA"/>
    <w:rsid w:val="3266DBC9"/>
    <w:rsid w:val="32671F72"/>
    <w:rsid w:val="326EF56D"/>
    <w:rsid w:val="32860DBB"/>
    <w:rsid w:val="329A632A"/>
    <w:rsid w:val="329A77F5"/>
    <w:rsid w:val="32A76049"/>
    <w:rsid w:val="32B8CF0B"/>
    <w:rsid w:val="32BD07EB"/>
    <w:rsid w:val="32CB1373"/>
    <w:rsid w:val="32E5E431"/>
    <w:rsid w:val="32E96411"/>
    <w:rsid w:val="33136D60"/>
    <w:rsid w:val="332B08AB"/>
    <w:rsid w:val="333E1E86"/>
    <w:rsid w:val="33422CB7"/>
    <w:rsid w:val="3354C8FD"/>
    <w:rsid w:val="337112A3"/>
    <w:rsid w:val="33739189"/>
    <w:rsid w:val="3375FE56"/>
    <w:rsid w:val="337DA2FA"/>
    <w:rsid w:val="3388893D"/>
    <w:rsid w:val="3397BBA9"/>
    <w:rsid w:val="3399BA24"/>
    <w:rsid w:val="33BA2D3C"/>
    <w:rsid w:val="33C4A778"/>
    <w:rsid w:val="33C7ECBE"/>
    <w:rsid w:val="33EA7CCF"/>
    <w:rsid w:val="34082460"/>
    <w:rsid w:val="340B121E"/>
    <w:rsid w:val="342DFFFC"/>
    <w:rsid w:val="343CB678"/>
    <w:rsid w:val="345C0CC5"/>
    <w:rsid w:val="346A9F8A"/>
    <w:rsid w:val="346D527B"/>
    <w:rsid w:val="3474FF18"/>
    <w:rsid w:val="3479072C"/>
    <w:rsid w:val="347B4B5B"/>
    <w:rsid w:val="34808175"/>
    <w:rsid w:val="348C8283"/>
    <w:rsid w:val="3494781A"/>
    <w:rsid w:val="34A2B9F4"/>
    <w:rsid w:val="34ACA18A"/>
    <w:rsid w:val="34B7F2D9"/>
    <w:rsid w:val="34DADF90"/>
    <w:rsid w:val="34EAD046"/>
    <w:rsid w:val="34EF18B1"/>
    <w:rsid w:val="34F0C4BE"/>
    <w:rsid w:val="34F59F71"/>
    <w:rsid w:val="34F84ECC"/>
    <w:rsid w:val="34FFE567"/>
    <w:rsid w:val="35328B67"/>
    <w:rsid w:val="3538B089"/>
    <w:rsid w:val="354EF9C4"/>
    <w:rsid w:val="355924E1"/>
    <w:rsid w:val="355DDE2B"/>
    <w:rsid w:val="356A4274"/>
    <w:rsid w:val="356B93D6"/>
    <w:rsid w:val="35755744"/>
    <w:rsid w:val="3575E642"/>
    <w:rsid w:val="358778FE"/>
    <w:rsid w:val="3595B380"/>
    <w:rsid w:val="35C0CA64"/>
    <w:rsid w:val="35C10C2F"/>
    <w:rsid w:val="35EB3111"/>
    <w:rsid w:val="35FA0C2B"/>
    <w:rsid w:val="360F3D1C"/>
    <w:rsid w:val="361DE151"/>
    <w:rsid w:val="3632FFA3"/>
    <w:rsid w:val="3645EE7B"/>
    <w:rsid w:val="366E3BA7"/>
    <w:rsid w:val="36794FB6"/>
    <w:rsid w:val="3686A1A9"/>
    <w:rsid w:val="368F7938"/>
    <w:rsid w:val="3694D5B0"/>
    <w:rsid w:val="369B9836"/>
    <w:rsid w:val="36A4FA9A"/>
    <w:rsid w:val="36A97648"/>
    <w:rsid w:val="36AC1479"/>
    <w:rsid w:val="36B75E89"/>
    <w:rsid w:val="36D594BC"/>
    <w:rsid w:val="36DF59FA"/>
    <w:rsid w:val="36F69A2A"/>
    <w:rsid w:val="3700EA5D"/>
    <w:rsid w:val="3708593B"/>
    <w:rsid w:val="370EF2F9"/>
    <w:rsid w:val="3729377B"/>
    <w:rsid w:val="3729468D"/>
    <w:rsid w:val="372C2F84"/>
    <w:rsid w:val="372CB359"/>
    <w:rsid w:val="372E50FB"/>
    <w:rsid w:val="373972F2"/>
    <w:rsid w:val="37441A3E"/>
    <w:rsid w:val="3745D1BC"/>
    <w:rsid w:val="37518CC6"/>
    <w:rsid w:val="3767CCEE"/>
    <w:rsid w:val="376D2585"/>
    <w:rsid w:val="377FF0B3"/>
    <w:rsid w:val="3784A626"/>
    <w:rsid w:val="3787B717"/>
    <w:rsid w:val="37A13D1A"/>
    <w:rsid w:val="37A7CDF9"/>
    <w:rsid w:val="37AC33B9"/>
    <w:rsid w:val="37BCE244"/>
    <w:rsid w:val="37C92728"/>
    <w:rsid w:val="37DB786C"/>
    <w:rsid w:val="37DF2614"/>
    <w:rsid w:val="37E0CD49"/>
    <w:rsid w:val="37F57EDE"/>
    <w:rsid w:val="37FBB5F8"/>
    <w:rsid w:val="3811EE8E"/>
    <w:rsid w:val="3813A47F"/>
    <w:rsid w:val="381F4FE4"/>
    <w:rsid w:val="3820CAFD"/>
    <w:rsid w:val="38238394"/>
    <w:rsid w:val="3824CA93"/>
    <w:rsid w:val="383D0B10"/>
    <w:rsid w:val="383E51E1"/>
    <w:rsid w:val="383EF9E2"/>
    <w:rsid w:val="38443574"/>
    <w:rsid w:val="386776CB"/>
    <w:rsid w:val="38688B0C"/>
    <w:rsid w:val="3887F0D4"/>
    <w:rsid w:val="38AFFAD6"/>
    <w:rsid w:val="38C212FC"/>
    <w:rsid w:val="38DAF80D"/>
    <w:rsid w:val="38FA516E"/>
    <w:rsid w:val="38FA6C39"/>
    <w:rsid w:val="390B8DC5"/>
    <w:rsid w:val="391D4242"/>
    <w:rsid w:val="392B24F5"/>
    <w:rsid w:val="392DDF57"/>
    <w:rsid w:val="394046FA"/>
    <w:rsid w:val="39470754"/>
    <w:rsid w:val="39472A59"/>
    <w:rsid w:val="3957B6BF"/>
    <w:rsid w:val="395AA62E"/>
    <w:rsid w:val="39623D18"/>
    <w:rsid w:val="398E1B00"/>
    <w:rsid w:val="399056A0"/>
    <w:rsid w:val="399530DF"/>
    <w:rsid w:val="39976A45"/>
    <w:rsid w:val="39B3AECC"/>
    <w:rsid w:val="39C89D8C"/>
    <w:rsid w:val="39D4D346"/>
    <w:rsid w:val="39E95773"/>
    <w:rsid w:val="39E9E5FF"/>
    <w:rsid w:val="3A004B19"/>
    <w:rsid w:val="3A0F76EE"/>
    <w:rsid w:val="3A225E4C"/>
    <w:rsid w:val="3A27CC74"/>
    <w:rsid w:val="3A2C370D"/>
    <w:rsid w:val="3A3F291F"/>
    <w:rsid w:val="3A5EBF04"/>
    <w:rsid w:val="3A683421"/>
    <w:rsid w:val="3A743644"/>
    <w:rsid w:val="3A75CC96"/>
    <w:rsid w:val="3A7CA086"/>
    <w:rsid w:val="3A864A2C"/>
    <w:rsid w:val="3A8C2D22"/>
    <w:rsid w:val="3AA4D06B"/>
    <w:rsid w:val="3AA88FFB"/>
    <w:rsid w:val="3AAC820A"/>
    <w:rsid w:val="3AB83C24"/>
    <w:rsid w:val="3AB9E2B4"/>
    <w:rsid w:val="3ABDDA56"/>
    <w:rsid w:val="3AC16E18"/>
    <w:rsid w:val="3AD400A3"/>
    <w:rsid w:val="3AF2567F"/>
    <w:rsid w:val="3AFA7108"/>
    <w:rsid w:val="3B045D4E"/>
    <w:rsid w:val="3B074C63"/>
    <w:rsid w:val="3B0FBB7E"/>
    <w:rsid w:val="3B3062CD"/>
    <w:rsid w:val="3B3814FC"/>
    <w:rsid w:val="3B395DF3"/>
    <w:rsid w:val="3B4AC233"/>
    <w:rsid w:val="3B506555"/>
    <w:rsid w:val="3B68083C"/>
    <w:rsid w:val="3B6A912C"/>
    <w:rsid w:val="3B9167C9"/>
    <w:rsid w:val="3B9D2ED4"/>
    <w:rsid w:val="3BA25C5E"/>
    <w:rsid w:val="3BB0582A"/>
    <w:rsid w:val="3BBBA8E9"/>
    <w:rsid w:val="3BD014B9"/>
    <w:rsid w:val="3BD70616"/>
    <w:rsid w:val="3BD7E5D1"/>
    <w:rsid w:val="3BF224B0"/>
    <w:rsid w:val="3BF5E89B"/>
    <w:rsid w:val="3C144198"/>
    <w:rsid w:val="3C1AA3AD"/>
    <w:rsid w:val="3C28A40C"/>
    <w:rsid w:val="3C3A87B0"/>
    <w:rsid w:val="3C5B4354"/>
    <w:rsid w:val="3C7584CC"/>
    <w:rsid w:val="3C7EDA5D"/>
    <w:rsid w:val="3C8C7B02"/>
    <w:rsid w:val="3C8D3B3A"/>
    <w:rsid w:val="3CA8FCDF"/>
    <w:rsid w:val="3CBA9DB3"/>
    <w:rsid w:val="3CC85B8F"/>
    <w:rsid w:val="3CC88C1C"/>
    <w:rsid w:val="3CC9F7C1"/>
    <w:rsid w:val="3CCEBE7C"/>
    <w:rsid w:val="3CD1BFEB"/>
    <w:rsid w:val="3D09BC7D"/>
    <w:rsid w:val="3D10839F"/>
    <w:rsid w:val="3D138CA9"/>
    <w:rsid w:val="3D258BA3"/>
    <w:rsid w:val="3D45CB60"/>
    <w:rsid w:val="3D4952DB"/>
    <w:rsid w:val="3D4B45F6"/>
    <w:rsid w:val="3D4F3640"/>
    <w:rsid w:val="3D4F5026"/>
    <w:rsid w:val="3D531E87"/>
    <w:rsid w:val="3D6021E9"/>
    <w:rsid w:val="3D6A5D12"/>
    <w:rsid w:val="3D70BE11"/>
    <w:rsid w:val="3D745802"/>
    <w:rsid w:val="3D8047DD"/>
    <w:rsid w:val="3D8DA770"/>
    <w:rsid w:val="3D9852C6"/>
    <w:rsid w:val="3DCE8546"/>
    <w:rsid w:val="3DCEAC09"/>
    <w:rsid w:val="3DD75B75"/>
    <w:rsid w:val="3DF866C9"/>
    <w:rsid w:val="3DF87C84"/>
    <w:rsid w:val="3E02FFD6"/>
    <w:rsid w:val="3E3516CE"/>
    <w:rsid w:val="3E457C64"/>
    <w:rsid w:val="3E505E14"/>
    <w:rsid w:val="3E52A751"/>
    <w:rsid w:val="3E5DF173"/>
    <w:rsid w:val="3E6052BE"/>
    <w:rsid w:val="3E62CEA0"/>
    <w:rsid w:val="3E89398F"/>
    <w:rsid w:val="3E9DF5A8"/>
    <w:rsid w:val="3EA8E9A3"/>
    <w:rsid w:val="3EB4B716"/>
    <w:rsid w:val="3EC1BDEC"/>
    <w:rsid w:val="3EDEF483"/>
    <w:rsid w:val="3F17CA58"/>
    <w:rsid w:val="3F1A4D18"/>
    <w:rsid w:val="3F20215C"/>
    <w:rsid w:val="3F3AC840"/>
    <w:rsid w:val="3F52EFA7"/>
    <w:rsid w:val="3F5762D7"/>
    <w:rsid w:val="3F6F6F2D"/>
    <w:rsid w:val="3F6F87DB"/>
    <w:rsid w:val="3F77F8C3"/>
    <w:rsid w:val="3F88949A"/>
    <w:rsid w:val="3F8A79B7"/>
    <w:rsid w:val="3F8F9117"/>
    <w:rsid w:val="3F97C471"/>
    <w:rsid w:val="3FACB5E8"/>
    <w:rsid w:val="3FAEB1EC"/>
    <w:rsid w:val="3FB1283C"/>
    <w:rsid w:val="3FB452D7"/>
    <w:rsid w:val="3FBE0BBF"/>
    <w:rsid w:val="3FD1881F"/>
    <w:rsid w:val="3FD8556C"/>
    <w:rsid w:val="3FDF0E81"/>
    <w:rsid w:val="3FE55BBB"/>
    <w:rsid w:val="3FEE6A50"/>
    <w:rsid w:val="40034086"/>
    <w:rsid w:val="4008D11A"/>
    <w:rsid w:val="400C8C01"/>
    <w:rsid w:val="40295A4B"/>
    <w:rsid w:val="402DFB10"/>
    <w:rsid w:val="4034E475"/>
    <w:rsid w:val="40434FFE"/>
    <w:rsid w:val="404DBA53"/>
    <w:rsid w:val="404F90CD"/>
    <w:rsid w:val="40591B66"/>
    <w:rsid w:val="405D05A1"/>
    <w:rsid w:val="4061A3A4"/>
    <w:rsid w:val="407AB35E"/>
    <w:rsid w:val="4083C56E"/>
    <w:rsid w:val="4087625F"/>
    <w:rsid w:val="40AFB30B"/>
    <w:rsid w:val="40C25501"/>
    <w:rsid w:val="40C9E9F7"/>
    <w:rsid w:val="40E82E9E"/>
    <w:rsid w:val="40EAEFAD"/>
    <w:rsid w:val="40EF9780"/>
    <w:rsid w:val="40F459C0"/>
    <w:rsid w:val="410076DD"/>
    <w:rsid w:val="4119D391"/>
    <w:rsid w:val="4121A5C4"/>
    <w:rsid w:val="4123E607"/>
    <w:rsid w:val="4137B292"/>
    <w:rsid w:val="4137F354"/>
    <w:rsid w:val="413C4470"/>
    <w:rsid w:val="41439083"/>
    <w:rsid w:val="414E4B12"/>
    <w:rsid w:val="416C8B75"/>
    <w:rsid w:val="416D0C8C"/>
    <w:rsid w:val="417DE954"/>
    <w:rsid w:val="418C2C14"/>
    <w:rsid w:val="41C27FFD"/>
    <w:rsid w:val="41CC9904"/>
    <w:rsid w:val="4221D635"/>
    <w:rsid w:val="422460FF"/>
    <w:rsid w:val="424AB514"/>
    <w:rsid w:val="424E967A"/>
    <w:rsid w:val="4263B562"/>
    <w:rsid w:val="4275A81D"/>
    <w:rsid w:val="42C94898"/>
    <w:rsid w:val="42DB88E1"/>
    <w:rsid w:val="42E89106"/>
    <w:rsid w:val="42F544F9"/>
    <w:rsid w:val="43074850"/>
    <w:rsid w:val="4330B8B3"/>
    <w:rsid w:val="433A7136"/>
    <w:rsid w:val="437A7C94"/>
    <w:rsid w:val="437CF61C"/>
    <w:rsid w:val="438668EF"/>
    <w:rsid w:val="43A9E2C2"/>
    <w:rsid w:val="43B8F490"/>
    <w:rsid w:val="43C7F4FD"/>
    <w:rsid w:val="43E93F01"/>
    <w:rsid w:val="43F55BD0"/>
    <w:rsid w:val="43F7146A"/>
    <w:rsid w:val="43F8EA0D"/>
    <w:rsid w:val="44079795"/>
    <w:rsid w:val="442C2A13"/>
    <w:rsid w:val="44304C6A"/>
    <w:rsid w:val="4446D4BE"/>
    <w:rsid w:val="444B0997"/>
    <w:rsid w:val="444BD26E"/>
    <w:rsid w:val="4453B1BD"/>
    <w:rsid w:val="445BDB93"/>
    <w:rsid w:val="445BFEEC"/>
    <w:rsid w:val="445CB865"/>
    <w:rsid w:val="446F2BE6"/>
    <w:rsid w:val="44972226"/>
    <w:rsid w:val="449DA982"/>
    <w:rsid w:val="449E199C"/>
    <w:rsid w:val="44B473DC"/>
    <w:rsid w:val="44B61015"/>
    <w:rsid w:val="44CAC8D8"/>
    <w:rsid w:val="44DE1A73"/>
    <w:rsid w:val="44E2DCDF"/>
    <w:rsid w:val="44E873D2"/>
    <w:rsid w:val="44EF0001"/>
    <w:rsid w:val="44F2916D"/>
    <w:rsid w:val="44FDEA1D"/>
    <w:rsid w:val="4523A7B0"/>
    <w:rsid w:val="453100D0"/>
    <w:rsid w:val="4547EB3D"/>
    <w:rsid w:val="4553B904"/>
    <w:rsid w:val="455545B8"/>
    <w:rsid w:val="45656602"/>
    <w:rsid w:val="4575E999"/>
    <w:rsid w:val="457CC92A"/>
    <w:rsid w:val="457EF69B"/>
    <w:rsid w:val="45ACE87F"/>
    <w:rsid w:val="45B1AF1F"/>
    <w:rsid w:val="45B4E990"/>
    <w:rsid w:val="45B67497"/>
    <w:rsid w:val="45BCE86E"/>
    <w:rsid w:val="45C633C3"/>
    <w:rsid w:val="45F5F979"/>
    <w:rsid w:val="45FA0F50"/>
    <w:rsid w:val="460DE278"/>
    <w:rsid w:val="461B7F9B"/>
    <w:rsid w:val="461D28E9"/>
    <w:rsid w:val="46258C50"/>
    <w:rsid w:val="46295B7E"/>
    <w:rsid w:val="46307C99"/>
    <w:rsid w:val="46361AFC"/>
    <w:rsid w:val="465D19BF"/>
    <w:rsid w:val="467EF7B3"/>
    <w:rsid w:val="4683A248"/>
    <w:rsid w:val="4686E594"/>
    <w:rsid w:val="469C8B1E"/>
    <w:rsid w:val="46A0238D"/>
    <w:rsid w:val="46ABAA39"/>
    <w:rsid w:val="46ABC6B1"/>
    <w:rsid w:val="46AF9BEA"/>
    <w:rsid w:val="46D03CF7"/>
    <w:rsid w:val="46E12AA9"/>
    <w:rsid w:val="46E142EB"/>
    <w:rsid w:val="46FD56D8"/>
    <w:rsid w:val="46FDDB81"/>
    <w:rsid w:val="4708009A"/>
    <w:rsid w:val="471B6113"/>
    <w:rsid w:val="47357DD2"/>
    <w:rsid w:val="474BFF93"/>
    <w:rsid w:val="47609E3E"/>
    <w:rsid w:val="477EB531"/>
    <w:rsid w:val="477F498E"/>
    <w:rsid w:val="4782431D"/>
    <w:rsid w:val="478B4082"/>
    <w:rsid w:val="478E0B77"/>
    <w:rsid w:val="47A64F91"/>
    <w:rsid w:val="47BB00F1"/>
    <w:rsid w:val="47BED85C"/>
    <w:rsid w:val="47CCF19F"/>
    <w:rsid w:val="47E2810D"/>
    <w:rsid w:val="4801BC6D"/>
    <w:rsid w:val="48085998"/>
    <w:rsid w:val="48119A97"/>
    <w:rsid w:val="4814486A"/>
    <w:rsid w:val="481C35BE"/>
    <w:rsid w:val="483E919A"/>
    <w:rsid w:val="48469104"/>
    <w:rsid w:val="484DE237"/>
    <w:rsid w:val="485FCB9C"/>
    <w:rsid w:val="486456ED"/>
    <w:rsid w:val="486C9381"/>
    <w:rsid w:val="486E25D1"/>
    <w:rsid w:val="4878CDE8"/>
    <w:rsid w:val="488B4AD2"/>
    <w:rsid w:val="4894D08B"/>
    <w:rsid w:val="489C1B12"/>
    <w:rsid w:val="48ABC954"/>
    <w:rsid w:val="48BACBA4"/>
    <w:rsid w:val="48C472C2"/>
    <w:rsid w:val="48CFED2A"/>
    <w:rsid w:val="48D2320D"/>
    <w:rsid w:val="48D6C896"/>
    <w:rsid w:val="48DA83D2"/>
    <w:rsid w:val="48DD8897"/>
    <w:rsid w:val="48DEE697"/>
    <w:rsid w:val="48E0140A"/>
    <w:rsid w:val="48E34FE0"/>
    <w:rsid w:val="48EE65E9"/>
    <w:rsid w:val="48F59472"/>
    <w:rsid w:val="4905A595"/>
    <w:rsid w:val="4912E52C"/>
    <w:rsid w:val="4923AAE0"/>
    <w:rsid w:val="495B1DAA"/>
    <w:rsid w:val="4963B387"/>
    <w:rsid w:val="49653F41"/>
    <w:rsid w:val="49671FC6"/>
    <w:rsid w:val="4975F087"/>
    <w:rsid w:val="49894ADE"/>
    <w:rsid w:val="498E7F17"/>
    <w:rsid w:val="49CCD2B3"/>
    <w:rsid w:val="49D16E1C"/>
    <w:rsid w:val="49D2989F"/>
    <w:rsid w:val="49D57B3D"/>
    <w:rsid w:val="4A015854"/>
    <w:rsid w:val="4A13897C"/>
    <w:rsid w:val="4A2C7E98"/>
    <w:rsid w:val="4A3ABABC"/>
    <w:rsid w:val="4A414CBD"/>
    <w:rsid w:val="4A5145BA"/>
    <w:rsid w:val="4A5A853F"/>
    <w:rsid w:val="4A83144E"/>
    <w:rsid w:val="4A836A9B"/>
    <w:rsid w:val="4A881A2E"/>
    <w:rsid w:val="4A8E7DF3"/>
    <w:rsid w:val="4AA125D9"/>
    <w:rsid w:val="4AA47844"/>
    <w:rsid w:val="4AAC7D8D"/>
    <w:rsid w:val="4AC13983"/>
    <w:rsid w:val="4AC4A03F"/>
    <w:rsid w:val="4ACB79D6"/>
    <w:rsid w:val="4AD15509"/>
    <w:rsid w:val="4AE7AD85"/>
    <w:rsid w:val="4AEA5049"/>
    <w:rsid w:val="4AEC26FC"/>
    <w:rsid w:val="4B021FF1"/>
    <w:rsid w:val="4B30FC59"/>
    <w:rsid w:val="4B3A12F2"/>
    <w:rsid w:val="4B3B348D"/>
    <w:rsid w:val="4B3CF070"/>
    <w:rsid w:val="4B5113E8"/>
    <w:rsid w:val="4B94E013"/>
    <w:rsid w:val="4B94FC6D"/>
    <w:rsid w:val="4BA768C0"/>
    <w:rsid w:val="4BA7C4B3"/>
    <w:rsid w:val="4BBD4EB4"/>
    <w:rsid w:val="4BBF89B2"/>
    <w:rsid w:val="4C02F82B"/>
    <w:rsid w:val="4C08F12F"/>
    <w:rsid w:val="4C0F1F32"/>
    <w:rsid w:val="4C1CD88B"/>
    <w:rsid w:val="4C4F802F"/>
    <w:rsid w:val="4C9CF2A9"/>
    <w:rsid w:val="4CA06462"/>
    <w:rsid w:val="4CA24D79"/>
    <w:rsid w:val="4CABE780"/>
    <w:rsid w:val="4CBCB832"/>
    <w:rsid w:val="4CD8E2D4"/>
    <w:rsid w:val="4CDE8ED0"/>
    <w:rsid w:val="4D159C88"/>
    <w:rsid w:val="4D48C8E8"/>
    <w:rsid w:val="4D505DFD"/>
    <w:rsid w:val="4D5763EB"/>
    <w:rsid w:val="4DA76A0D"/>
    <w:rsid w:val="4DABE8C6"/>
    <w:rsid w:val="4DB64D10"/>
    <w:rsid w:val="4DB9508D"/>
    <w:rsid w:val="4DBF7E35"/>
    <w:rsid w:val="4DC71662"/>
    <w:rsid w:val="4DE6D702"/>
    <w:rsid w:val="4DF4C661"/>
    <w:rsid w:val="4DFD2B51"/>
    <w:rsid w:val="4E08B751"/>
    <w:rsid w:val="4E2606D5"/>
    <w:rsid w:val="4E3E7A7A"/>
    <w:rsid w:val="4E512AC9"/>
    <w:rsid w:val="4E588EDE"/>
    <w:rsid w:val="4E5AB500"/>
    <w:rsid w:val="4E5DC701"/>
    <w:rsid w:val="4E61792B"/>
    <w:rsid w:val="4E72C429"/>
    <w:rsid w:val="4E8EDB24"/>
    <w:rsid w:val="4E8FF169"/>
    <w:rsid w:val="4E92F191"/>
    <w:rsid w:val="4E99571E"/>
    <w:rsid w:val="4EBECA5A"/>
    <w:rsid w:val="4F0C246C"/>
    <w:rsid w:val="4F115BC9"/>
    <w:rsid w:val="4F1C96DE"/>
    <w:rsid w:val="4F2ACEA1"/>
    <w:rsid w:val="4F406F38"/>
    <w:rsid w:val="4F4567D8"/>
    <w:rsid w:val="4F47B4CF"/>
    <w:rsid w:val="4F4AC570"/>
    <w:rsid w:val="4F4BCB3D"/>
    <w:rsid w:val="4F516477"/>
    <w:rsid w:val="4F57594B"/>
    <w:rsid w:val="4F5AFCFD"/>
    <w:rsid w:val="4F626C6D"/>
    <w:rsid w:val="4F8688A7"/>
    <w:rsid w:val="4FA3556D"/>
    <w:rsid w:val="4FA8506F"/>
    <w:rsid w:val="4FAC88B6"/>
    <w:rsid w:val="4FB49BD3"/>
    <w:rsid w:val="4FC7B1ED"/>
    <w:rsid w:val="4FF2B44E"/>
    <w:rsid w:val="4FF8B5D8"/>
    <w:rsid w:val="4FFD4EDF"/>
    <w:rsid w:val="501CCD17"/>
    <w:rsid w:val="5023DC60"/>
    <w:rsid w:val="50376760"/>
    <w:rsid w:val="50478B10"/>
    <w:rsid w:val="50577844"/>
    <w:rsid w:val="5058385D"/>
    <w:rsid w:val="50631595"/>
    <w:rsid w:val="5077CB24"/>
    <w:rsid w:val="50825344"/>
    <w:rsid w:val="508948B9"/>
    <w:rsid w:val="50B71161"/>
    <w:rsid w:val="50C3272C"/>
    <w:rsid w:val="50F99AA2"/>
    <w:rsid w:val="511818F7"/>
    <w:rsid w:val="5122333F"/>
    <w:rsid w:val="512FF0BE"/>
    <w:rsid w:val="5130235F"/>
    <w:rsid w:val="514D3DC9"/>
    <w:rsid w:val="515D99AE"/>
    <w:rsid w:val="51614A3E"/>
    <w:rsid w:val="51A3EEE6"/>
    <w:rsid w:val="51B1DD74"/>
    <w:rsid w:val="51BC6547"/>
    <w:rsid w:val="51BD2A42"/>
    <w:rsid w:val="51C1C07E"/>
    <w:rsid w:val="51CC2BE8"/>
    <w:rsid w:val="51CFC327"/>
    <w:rsid w:val="51D1F733"/>
    <w:rsid w:val="51E0719D"/>
    <w:rsid w:val="51F48B8F"/>
    <w:rsid w:val="51F91583"/>
    <w:rsid w:val="5202FF94"/>
    <w:rsid w:val="52097EE8"/>
    <w:rsid w:val="5209EE74"/>
    <w:rsid w:val="5211CE09"/>
    <w:rsid w:val="5238283C"/>
    <w:rsid w:val="52921EAE"/>
    <w:rsid w:val="52954D6A"/>
    <w:rsid w:val="529DCFCF"/>
    <w:rsid w:val="52B1CE34"/>
    <w:rsid w:val="52BFDB66"/>
    <w:rsid w:val="52D9A686"/>
    <w:rsid w:val="5324530E"/>
    <w:rsid w:val="53266489"/>
    <w:rsid w:val="532D5A1B"/>
    <w:rsid w:val="53351556"/>
    <w:rsid w:val="5339CDD7"/>
    <w:rsid w:val="5340F3A0"/>
    <w:rsid w:val="53415A23"/>
    <w:rsid w:val="534A7413"/>
    <w:rsid w:val="5369C8BC"/>
    <w:rsid w:val="53995516"/>
    <w:rsid w:val="539CF679"/>
    <w:rsid w:val="539F076C"/>
    <w:rsid w:val="53CCF9AF"/>
    <w:rsid w:val="53D17F22"/>
    <w:rsid w:val="53E9CE57"/>
    <w:rsid w:val="540CA3BA"/>
    <w:rsid w:val="541350F4"/>
    <w:rsid w:val="54244D30"/>
    <w:rsid w:val="5428AF73"/>
    <w:rsid w:val="5434F08A"/>
    <w:rsid w:val="543B9F73"/>
    <w:rsid w:val="5448AE53"/>
    <w:rsid w:val="5452DEEA"/>
    <w:rsid w:val="5469C51E"/>
    <w:rsid w:val="5486FF67"/>
    <w:rsid w:val="549BF48A"/>
    <w:rsid w:val="549D4269"/>
    <w:rsid w:val="549F96D7"/>
    <w:rsid w:val="54AE5B5D"/>
    <w:rsid w:val="54B69D0F"/>
    <w:rsid w:val="54BBE897"/>
    <w:rsid w:val="54BE26D8"/>
    <w:rsid w:val="54BF580C"/>
    <w:rsid w:val="54D16123"/>
    <w:rsid w:val="54D44592"/>
    <w:rsid w:val="54D85AB9"/>
    <w:rsid w:val="54E05175"/>
    <w:rsid w:val="5507A754"/>
    <w:rsid w:val="550AF911"/>
    <w:rsid w:val="550C291C"/>
    <w:rsid w:val="5518FB8D"/>
    <w:rsid w:val="5535BC74"/>
    <w:rsid w:val="554EB2EC"/>
    <w:rsid w:val="556E9C24"/>
    <w:rsid w:val="557A35EF"/>
    <w:rsid w:val="5582EB88"/>
    <w:rsid w:val="5589A59C"/>
    <w:rsid w:val="558A574F"/>
    <w:rsid w:val="558EF2DC"/>
    <w:rsid w:val="55B91B1C"/>
    <w:rsid w:val="55BE2862"/>
    <w:rsid w:val="55C03B92"/>
    <w:rsid w:val="55CC6F68"/>
    <w:rsid w:val="55DC633A"/>
    <w:rsid w:val="55EF3BA6"/>
    <w:rsid w:val="55FC5576"/>
    <w:rsid w:val="56117B6F"/>
    <w:rsid w:val="56184447"/>
    <w:rsid w:val="56354E74"/>
    <w:rsid w:val="564D6463"/>
    <w:rsid w:val="564D7E75"/>
    <w:rsid w:val="56555F65"/>
    <w:rsid w:val="5657A578"/>
    <w:rsid w:val="56581346"/>
    <w:rsid w:val="56783AB0"/>
    <w:rsid w:val="567AB682"/>
    <w:rsid w:val="56841988"/>
    <w:rsid w:val="568627CD"/>
    <w:rsid w:val="5698C67E"/>
    <w:rsid w:val="56A7FA7C"/>
    <w:rsid w:val="56B0CBC8"/>
    <w:rsid w:val="56CB35D8"/>
    <w:rsid w:val="5719855F"/>
    <w:rsid w:val="57242747"/>
    <w:rsid w:val="572F0D01"/>
    <w:rsid w:val="573C2D28"/>
    <w:rsid w:val="575EA06D"/>
    <w:rsid w:val="5768546B"/>
    <w:rsid w:val="576C8FCE"/>
    <w:rsid w:val="576CC1B5"/>
    <w:rsid w:val="5780F63F"/>
    <w:rsid w:val="5781BA48"/>
    <w:rsid w:val="578B6F83"/>
    <w:rsid w:val="5790969E"/>
    <w:rsid w:val="5794E315"/>
    <w:rsid w:val="57A45C3F"/>
    <w:rsid w:val="57A8DB96"/>
    <w:rsid w:val="57B7AD52"/>
    <w:rsid w:val="57CD06AA"/>
    <w:rsid w:val="57D42BBA"/>
    <w:rsid w:val="57EBBFC5"/>
    <w:rsid w:val="57F92FCF"/>
    <w:rsid w:val="580F03B8"/>
    <w:rsid w:val="581A7402"/>
    <w:rsid w:val="5820BBDB"/>
    <w:rsid w:val="582F53D7"/>
    <w:rsid w:val="583BACC6"/>
    <w:rsid w:val="58489D9B"/>
    <w:rsid w:val="5866082F"/>
    <w:rsid w:val="5869200E"/>
    <w:rsid w:val="58706231"/>
    <w:rsid w:val="5879F69E"/>
    <w:rsid w:val="587A7C26"/>
    <w:rsid w:val="58867974"/>
    <w:rsid w:val="5889354D"/>
    <w:rsid w:val="58C4A14E"/>
    <w:rsid w:val="58D0E061"/>
    <w:rsid w:val="58EAD82D"/>
    <w:rsid w:val="58F0A054"/>
    <w:rsid w:val="58FE61B2"/>
    <w:rsid w:val="5900FE1D"/>
    <w:rsid w:val="59078A25"/>
    <w:rsid w:val="590BA703"/>
    <w:rsid w:val="591F6E8C"/>
    <w:rsid w:val="593759CA"/>
    <w:rsid w:val="594126F2"/>
    <w:rsid w:val="595C805D"/>
    <w:rsid w:val="597210E2"/>
    <w:rsid w:val="59759C0F"/>
    <w:rsid w:val="5985E60B"/>
    <w:rsid w:val="59A16036"/>
    <w:rsid w:val="59A87D9E"/>
    <w:rsid w:val="59C43103"/>
    <w:rsid w:val="59D8CBA9"/>
    <w:rsid w:val="59EF5E6E"/>
    <w:rsid w:val="59F7DE96"/>
    <w:rsid w:val="59F87F7F"/>
    <w:rsid w:val="59FBBED1"/>
    <w:rsid w:val="5A04F391"/>
    <w:rsid w:val="5A160194"/>
    <w:rsid w:val="5A3A40B2"/>
    <w:rsid w:val="5A598941"/>
    <w:rsid w:val="5A67E974"/>
    <w:rsid w:val="5A7585B7"/>
    <w:rsid w:val="5AA8AA26"/>
    <w:rsid w:val="5AB75FE8"/>
    <w:rsid w:val="5ABDA93F"/>
    <w:rsid w:val="5ACE11A3"/>
    <w:rsid w:val="5AFBAAC7"/>
    <w:rsid w:val="5AFF71B5"/>
    <w:rsid w:val="5B02D113"/>
    <w:rsid w:val="5B0A214C"/>
    <w:rsid w:val="5B168B50"/>
    <w:rsid w:val="5B2586A2"/>
    <w:rsid w:val="5B2E167E"/>
    <w:rsid w:val="5B2E8749"/>
    <w:rsid w:val="5B38D371"/>
    <w:rsid w:val="5B4EB977"/>
    <w:rsid w:val="5B763C6A"/>
    <w:rsid w:val="5B8326A1"/>
    <w:rsid w:val="5B8ED172"/>
    <w:rsid w:val="5BC80C85"/>
    <w:rsid w:val="5BDDD884"/>
    <w:rsid w:val="5C00BC8C"/>
    <w:rsid w:val="5C04168C"/>
    <w:rsid w:val="5C06D446"/>
    <w:rsid w:val="5C09929B"/>
    <w:rsid w:val="5C0BCD56"/>
    <w:rsid w:val="5C147B13"/>
    <w:rsid w:val="5C2FB03D"/>
    <w:rsid w:val="5C35D5CF"/>
    <w:rsid w:val="5C3B2F37"/>
    <w:rsid w:val="5C4DB49C"/>
    <w:rsid w:val="5C549830"/>
    <w:rsid w:val="5C54BF4A"/>
    <w:rsid w:val="5C764F4A"/>
    <w:rsid w:val="5C8B18BB"/>
    <w:rsid w:val="5C9A9766"/>
    <w:rsid w:val="5CA289ED"/>
    <w:rsid w:val="5CA47F1F"/>
    <w:rsid w:val="5CBEE442"/>
    <w:rsid w:val="5CEBED63"/>
    <w:rsid w:val="5CF730CD"/>
    <w:rsid w:val="5CF87E7E"/>
    <w:rsid w:val="5D1FEBD6"/>
    <w:rsid w:val="5D24DC6A"/>
    <w:rsid w:val="5D2E74E3"/>
    <w:rsid w:val="5D42070E"/>
    <w:rsid w:val="5D43DB44"/>
    <w:rsid w:val="5D501F2F"/>
    <w:rsid w:val="5D63F3F4"/>
    <w:rsid w:val="5D64EA2F"/>
    <w:rsid w:val="5D683508"/>
    <w:rsid w:val="5D6F0A1F"/>
    <w:rsid w:val="5D74C693"/>
    <w:rsid w:val="5D765797"/>
    <w:rsid w:val="5D8C9887"/>
    <w:rsid w:val="5D9CC7A4"/>
    <w:rsid w:val="5DA002FF"/>
    <w:rsid w:val="5DADFAF6"/>
    <w:rsid w:val="5DBEA8D6"/>
    <w:rsid w:val="5DFA68BA"/>
    <w:rsid w:val="5E04B543"/>
    <w:rsid w:val="5E1E7124"/>
    <w:rsid w:val="5E2E6E19"/>
    <w:rsid w:val="5E42670C"/>
    <w:rsid w:val="5E475AB2"/>
    <w:rsid w:val="5E5184F1"/>
    <w:rsid w:val="5E5FB000"/>
    <w:rsid w:val="5E796581"/>
    <w:rsid w:val="5E834B2C"/>
    <w:rsid w:val="5E88AA04"/>
    <w:rsid w:val="5E8D1051"/>
    <w:rsid w:val="5E8E7343"/>
    <w:rsid w:val="5E8F0445"/>
    <w:rsid w:val="5EBBAD6D"/>
    <w:rsid w:val="5ECE67F6"/>
    <w:rsid w:val="5EEDFBBD"/>
    <w:rsid w:val="5EF983FD"/>
    <w:rsid w:val="5F010EE5"/>
    <w:rsid w:val="5F055540"/>
    <w:rsid w:val="5F0E6C42"/>
    <w:rsid w:val="5F1393B5"/>
    <w:rsid w:val="5F25498B"/>
    <w:rsid w:val="5F3E6CCC"/>
    <w:rsid w:val="5F4DB153"/>
    <w:rsid w:val="5F6BA78E"/>
    <w:rsid w:val="5F6BF426"/>
    <w:rsid w:val="5F7CF112"/>
    <w:rsid w:val="5F865CAF"/>
    <w:rsid w:val="5F8B47F6"/>
    <w:rsid w:val="5F9F5674"/>
    <w:rsid w:val="5FBC366C"/>
    <w:rsid w:val="5FC8C53A"/>
    <w:rsid w:val="5FCEDA25"/>
    <w:rsid w:val="601981E1"/>
    <w:rsid w:val="601A3E52"/>
    <w:rsid w:val="602C1B76"/>
    <w:rsid w:val="6039A921"/>
    <w:rsid w:val="603E5003"/>
    <w:rsid w:val="6041BEAE"/>
    <w:rsid w:val="6053D7DA"/>
    <w:rsid w:val="60692C24"/>
    <w:rsid w:val="606E9F4E"/>
    <w:rsid w:val="60712D24"/>
    <w:rsid w:val="60911D4C"/>
    <w:rsid w:val="60B58F3E"/>
    <w:rsid w:val="60DDEDCF"/>
    <w:rsid w:val="60E57653"/>
    <w:rsid w:val="610EB3D1"/>
    <w:rsid w:val="6120151E"/>
    <w:rsid w:val="6138B6BB"/>
    <w:rsid w:val="613E95CC"/>
    <w:rsid w:val="614FB586"/>
    <w:rsid w:val="615AA19F"/>
    <w:rsid w:val="616448FF"/>
    <w:rsid w:val="6174D1F7"/>
    <w:rsid w:val="617B8B2A"/>
    <w:rsid w:val="617E63FC"/>
    <w:rsid w:val="6193A46A"/>
    <w:rsid w:val="619A24EA"/>
    <w:rsid w:val="619AACFF"/>
    <w:rsid w:val="619E0873"/>
    <w:rsid w:val="61C849D5"/>
    <w:rsid w:val="61DDFEB3"/>
    <w:rsid w:val="61DF2E33"/>
    <w:rsid w:val="61E0D831"/>
    <w:rsid w:val="62012349"/>
    <w:rsid w:val="620EC6BC"/>
    <w:rsid w:val="620FE202"/>
    <w:rsid w:val="624F8A88"/>
    <w:rsid w:val="625F57D4"/>
    <w:rsid w:val="6264F698"/>
    <w:rsid w:val="6291001E"/>
    <w:rsid w:val="62A822DE"/>
    <w:rsid w:val="62B9C5E0"/>
    <w:rsid w:val="62BFB6CE"/>
    <w:rsid w:val="62C86736"/>
    <w:rsid w:val="62CBFE53"/>
    <w:rsid w:val="62D2AB33"/>
    <w:rsid w:val="62D9CEB7"/>
    <w:rsid w:val="62DC9B49"/>
    <w:rsid w:val="62EFB836"/>
    <w:rsid w:val="6307E210"/>
    <w:rsid w:val="630A3768"/>
    <w:rsid w:val="6331D788"/>
    <w:rsid w:val="63516FD6"/>
    <w:rsid w:val="6354A6D7"/>
    <w:rsid w:val="63571067"/>
    <w:rsid w:val="635E107D"/>
    <w:rsid w:val="63793889"/>
    <w:rsid w:val="637C1F8D"/>
    <w:rsid w:val="637FD047"/>
    <w:rsid w:val="6385EEBC"/>
    <w:rsid w:val="63C0816D"/>
    <w:rsid w:val="63DB8252"/>
    <w:rsid w:val="63E9305F"/>
    <w:rsid w:val="640560F5"/>
    <w:rsid w:val="641EB6CC"/>
    <w:rsid w:val="64299F95"/>
    <w:rsid w:val="642EE156"/>
    <w:rsid w:val="643CE861"/>
    <w:rsid w:val="644EF63F"/>
    <w:rsid w:val="645A71BC"/>
    <w:rsid w:val="646CC4C2"/>
    <w:rsid w:val="648415D8"/>
    <w:rsid w:val="64B7EC5B"/>
    <w:rsid w:val="64CEEEA5"/>
    <w:rsid w:val="64D05109"/>
    <w:rsid w:val="64DFD6BF"/>
    <w:rsid w:val="64E2BB82"/>
    <w:rsid w:val="64EBD8C9"/>
    <w:rsid w:val="64ED64A5"/>
    <w:rsid w:val="64F4E754"/>
    <w:rsid w:val="6517C144"/>
    <w:rsid w:val="6520036F"/>
    <w:rsid w:val="6524D119"/>
    <w:rsid w:val="65262C9A"/>
    <w:rsid w:val="6528E910"/>
    <w:rsid w:val="6533F539"/>
    <w:rsid w:val="6543221F"/>
    <w:rsid w:val="656D3B60"/>
    <w:rsid w:val="656EBC14"/>
    <w:rsid w:val="657895B2"/>
    <w:rsid w:val="657FC58C"/>
    <w:rsid w:val="65972740"/>
    <w:rsid w:val="6597EE36"/>
    <w:rsid w:val="659DFDB2"/>
    <w:rsid w:val="65A30B88"/>
    <w:rsid w:val="65A57C86"/>
    <w:rsid w:val="65AA8822"/>
    <w:rsid w:val="65BE4A0E"/>
    <w:rsid w:val="65C10B3E"/>
    <w:rsid w:val="65C4EFEC"/>
    <w:rsid w:val="65C6183D"/>
    <w:rsid w:val="65C974FA"/>
    <w:rsid w:val="65E3C132"/>
    <w:rsid w:val="65EFEE85"/>
    <w:rsid w:val="65F5A57E"/>
    <w:rsid w:val="660665A9"/>
    <w:rsid w:val="66117E0F"/>
    <w:rsid w:val="6616C06D"/>
    <w:rsid w:val="661CBB18"/>
    <w:rsid w:val="661DBC21"/>
    <w:rsid w:val="66258325"/>
    <w:rsid w:val="662AFF3B"/>
    <w:rsid w:val="662E2931"/>
    <w:rsid w:val="663B425C"/>
    <w:rsid w:val="6669A6EC"/>
    <w:rsid w:val="6672DE22"/>
    <w:rsid w:val="66780B91"/>
    <w:rsid w:val="667F8A89"/>
    <w:rsid w:val="668AE6AF"/>
    <w:rsid w:val="66A817F6"/>
    <w:rsid w:val="66B57948"/>
    <w:rsid w:val="66BB92E0"/>
    <w:rsid w:val="66C5174E"/>
    <w:rsid w:val="66D2C929"/>
    <w:rsid w:val="6716F8F6"/>
    <w:rsid w:val="671FD9FB"/>
    <w:rsid w:val="672693E5"/>
    <w:rsid w:val="67276431"/>
    <w:rsid w:val="6728EC39"/>
    <w:rsid w:val="67483D11"/>
    <w:rsid w:val="6748E097"/>
    <w:rsid w:val="674A1878"/>
    <w:rsid w:val="676D6870"/>
    <w:rsid w:val="679084FB"/>
    <w:rsid w:val="679E42B3"/>
    <w:rsid w:val="679F2821"/>
    <w:rsid w:val="67C017E7"/>
    <w:rsid w:val="67CD5B82"/>
    <w:rsid w:val="67EBEA3B"/>
    <w:rsid w:val="67F481A8"/>
    <w:rsid w:val="67FC33C2"/>
    <w:rsid w:val="68098BA6"/>
    <w:rsid w:val="680B73D8"/>
    <w:rsid w:val="680C4592"/>
    <w:rsid w:val="681299ED"/>
    <w:rsid w:val="682C814A"/>
    <w:rsid w:val="682E35E9"/>
    <w:rsid w:val="6841C062"/>
    <w:rsid w:val="685C5BA1"/>
    <w:rsid w:val="687B4EE5"/>
    <w:rsid w:val="6891E367"/>
    <w:rsid w:val="68A75821"/>
    <w:rsid w:val="68CCF1B3"/>
    <w:rsid w:val="68F2F28E"/>
    <w:rsid w:val="68F86136"/>
    <w:rsid w:val="69024A93"/>
    <w:rsid w:val="6916D77A"/>
    <w:rsid w:val="692CDDAE"/>
    <w:rsid w:val="692F449C"/>
    <w:rsid w:val="694471FE"/>
    <w:rsid w:val="69555D17"/>
    <w:rsid w:val="69560D44"/>
    <w:rsid w:val="69643F23"/>
    <w:rsid w:val="69707BC5"/>
    <w:rsid w:val="69715DA1"/>
    <w:rsid w:val="69735A18"/>
    <w:rsid w:val="69808B40"/>
    <w:rsid w:val="698699EE"/>
    <w:rsid w:val="6986DD98"/>
    <w:rsid w:val="69B009E5"/>
    <w:rsid w:val="69B89715"/>
    <w:rsid w:val="69CB0FE1"/>
    <w:rsid w:val="69CF1150"/>
    <w:rsid w:val="69D19564"/>
    <w:rsid w:val="69DB4D08"/>
    <w:rsid w:val="6A0A120B"/>
    <w:rsid w:val="6A1B4356"/>
    <w:rsid w:val="6A1F62AA"/>
    <w:rsid w:val="6A3D546D"/>
    <w:rsid w:val="6A3D61B1"/>
    <w:rsid w:val="6A402A0D"/>
    <w:rsid w:val="6A52E0A6"/>
    <w:rsid w:val="6AAB1D92"/>
    <w:rsid w:val="6AC92025"/>
    <w:rsid w:val="6AD23640"/>
    <w:rsid w:val="6AF140E6"/>
    <w:rsid w:val="6B251206"/>
    <w:rsid w:val="6B37A32C"/>
    <w:rsid w:val="6B5CF697"/>
    <w:rsid w:val="6B610342"/>
    <w:rsid w:val="6B66DF34"/>
    <w:rsid w:val="6B8B8A97"/>
    <w:rsid w:val="6B9813F9"/>
    <w:rsid w:val="6BB158CA"/>
    <w:rsid w:val="6BB2725E"/>
    <w:rsid w:val="6BC26F58"/>
    <w:rsid w:val="6BC30CE1"/>
    <w:rsid w:val="6BED35F8"/>
    <w:rsid w:val="6C0285DD"/>
    <w:rsid w:val="6C0831BD"/>
    <w:rsid w:val="6C124E9C"/>
    <w:rsid w:val="6C1D758A"/>
    <w:rsid w:val="6C49754A"/>
    <w:rsid w:val="6C4E6DAD"/>
    <w:rsid w:val="6C5184E3"/>
    <w:rsid w:val="6C5C6379"/>
    <w:rsid w:val="6C5D8DBA"/>
    <w:rsid w:val="6C639B4D"/>
    <w:rsid w:val="6C642306"/>
    <w:rsid w:val="6C7F8FCA"/>
    <w:rsid w:val="6CBAB3E9"/>
    <w:rsid w:val="6CD3A934"/>
    <w:rsid w:val="6CDCE3A2"/>
    <w:rsid w:val="6CE73206"/>
    <w:rsid w:val="6CE73742"/>
    <w:rsid w:val="6CF917F9"/>
    <w:rsid w:val="6D0242E1"/>
    <w:rsid w:val="6D0F9FFA"/>
    <w:rsid w:val="6D2BBB35"/>
    <w:rsid w:val="6D34A9EE"/>
    <w:rsid w:val="6D4152B3"/>
    <w:rsid w:val="6D420F9F"/>
    <w:rsid w:val="6D4258A1"/>
    <w:rsid w:val="6D477C4B"/>
    <w:rsid w:val="6D51DF5D"/>
    <w:rsid w:val="6D5A0711"/>
    <w:rsid w:val="6D636714"/>
    <w:rsid w:val="6D69B2BF"/>
    <w:rsid w:val="6D70C900"/>
    <w:rsid w:val="6D8913DA"/>
    <w:rsid w:val="6D8A3885"/>
    <w:rsid w:val="6DAA0BE9"/>
    <w:rsid w:val="6DB5E4BB"/>
    <w:rsid w:val="6DB92998"/>
    <w:rsid w:val="6DBB1FDB"/>
    <w:rsid w:val="6DC0709A"/>
    <w:rsid w:val="6DDC7972"/>
    <w:rsid w:val="6DE662DE"/>
    <w:rsid w:val="6DFE3895"/>
    <w:rsid w:val="6E006C35"/>
    <w:rsid w:val="6E18F118"/>
    <w:rsid w:val="6E326D00"/>
    <w:rsid w:val="6E331EA7"/>
    <w:rsid w:val="6E4521F7"/>
    <w:rsid w:val="6E485EEE"/>
    <w:rsid w:val="6E50D4EE"/>
    <w:rsid w:val="6E5DEF0C"/>
    <w:rsid w:val="6E7132BC"/>
    <w:rsid w:val="6E8EB718"/>
    <w:rsid w:val="6E9EB089"/>
    <w:rsid w:val="6EAA925D"/>
    <w:rsid w:val="6ED460FC"/>
    <w:rsid w:val="6EE3101F"/>
    <w:rsid w:val="6EE7A055"/>
    <w:rsid w:val="6EF36099"/>
    <w:rsid w:val="6F10F656"/>
    <w:rsid w:val="6F1A1003"/>
    <w:rsid w:val="6F51FA0D"/>
    <w:rsid w:val="6F5A359E"/>
    <w:rsid w:val="6F7B4643"/>
    <w:rsid w:val="6F8FB3A3"/>
    <w:rsid w:val="6F936108"/>
    <w:rsid w:val="6FB18D34"/>
    <w:rsid w:val="6FBCBFEA"/>
    <w:rsid w:val="6FBFA3BE"/>
    <w:rsid w:val="6FCF0981"/>
    <w:rsid w:val="6FD3CBA3"/>
    <w:rsid w:val="6FF8C369"/>
    <w:rsid w:val="6FFC4151"/>
    <w:rsid w:val="6FFF08E8"/>
    <w:rsid w:val="70027401"/>
    <w:rsid w:val="703EF5AB"/>
    <w:rsid w:val="7055420A"/>
    <w:rsid w:val="70806B80"/>
    <w:rsid w:val="7089DB00"/>
    <w:rsid w:val="708BAF09"/>
    <w:rsid w:val="709025C6"/>
    <w:rsid w:val="709CA03C"/>
    <w:rsid w:val="70A8CF8F"/>
    <w:rsid w:val="70B530BE"/>
    <w:rsid w:val="70B9245A"/>
    <w:rsid w:val="70F68CB3"/>
    <w:rsid w:val="70FA27D9"/>
    <w:rsid w:val="710D2DA9"/>
    <w:rsid w:val="71100EC7"/>
    <w:rsid w:val="71307263"/>
    <w:rsid w:val="71321CB6"/>
    <w:rsid w:val="715BC5B5"/>
    <w:rsid w:val="715E78AF"/>
    <w:rsid w:val="717169AA"/>
    <w:rsid w:val="717E79AB"/>
    <w:rsid w:val="71834297"/>
    <w:rsid w:val="718DEED7"/>
    <w:rsid w:val="719A1799"/>
    <w:rsid w:val="71ADA315"/>
    <w:rsid w:val="71B44EB3"/>
    <w:rsid w:val="71C65B79"/>
    <w:rsid w:val="71D0D597"/>
    <w:rsid w:val="71D17638"/>
    <w:rsid w:val="71EEA3CF"/>
    <w:rsid w:val="71F8EA7A"/>
    <w:rsid w:val="720405EB"/>
    <w:rsid w:val="721A754F"/>
    <w:rsid w:val="721F216A"/>
    <w:rsid w:val="7226F089"/>
    <w:rsid w:val="7245AE4C"/>
    <w:rsid w:val="724D8B64"/>
    <w:rsid w:val="724E8E95"/>
    <w:rsid w:val="72540142"/>
    <w:rsid w:val="725BFE73"/>
    <w:rsid w:val="725ED5C0"/>
    <w:rsid w:val="72A3EF3C"/>
    <w:rsid w:val="72A6477F"/>
    <w:rsid w:val="72AF222A"/>
    <w:rsid w:val="72CDF55C"/>
    <w:rsid w:val="72D785CA"/>
    <w:rsid w:val="72F1B124"/>
    <w:rsid w:val="72F1C28C"/>
    <w:rsid w:val="72F625C3"/>
    <w:rsid w:val="72FB2694"/>
    <w:rsid w:val="72FE3752"/>
    <w:rsid w:val="7313C093"/>
    <w:rsid w:val="7315864B"/>
    <w:rsid w:val="7316E074"/>
    <w:rsid w:val="731C9D6E"/>
    <w:rsid w:val="731EA5A8"/>
    <w:rsid w:val="732E9315"/>
    <w:rsid w:val="7332DAA7"/>
    <w:rsid w:val="73401C49"/>
    <w:rsid w:val="73414700"/>
    <w:rsid w:val="7354A40F"/>
    <w:rsid w:val="7359B8E0"/>
    <w:rsid w:val="73659949"/>
    <w:rsid w:val="7368B76B"/>
    <w:rsid w:val="738547FB"/>
    <w:rsid w:val="7387CCD2"/>
    <w:rsid w:val="73932470"/>
    <w:rsid w:val="739404EC"/>
    <w:rsid w:val="73B100DA"/>
    <w:rsid w:val="73BA2B41"/>
    <w:rsid w:val="73CEDABD"/>
    <w:rsid w:val="73EC6F97"/>
    <w:rsid w:val="73F2A186"/>
    <w:rsid w:val="73F3D125"/>
    <w:rsid w:val="7415C9A5"/>
    <w:rsid w:val="743E7E69"/>
    <w:rsid w:val="7441ABBA"/>
    <w:rsid w:val="7444D5CA"/>
    <w:rsid w:val="74458246"/>
    <w:rsid w:val="744A070C"/>
    <w:rsid w:val="7450B50A"/>
    <w:rsid w:val="745578E3"/>
    <w:rsid w:val="74859418"/>
    <w:rsid w:val="748ADF61"/>
    <w:rsid w:val="748D085A"/>
    <w:rsid w:val="7497ACF1"/>
    <w:rsid w:val="74D73645"/>
    <w:rsid w:val="74E15666"/>
    <w:rsid w:val="74E1BB45"/>
    <w:rsid w:val="74EBB214"/>
    <w:rsid w:val="75125DF5"/>
    <w:rsid w:val="75394E86"/>
    <w:rsid w:val="753BA90A"/>
    <w:rsid w:val="753D0EF5"/>
    <w:rsid w:val="754123DD"/>
    <w:rsid w:val="75450CDE"/>
    <w:rsid w:val="754A2109"/>
    <w:rsid w:val="754B177A"/>
    <w:rsid w:val="7553C870"/>
    <w:rsid w:val="755BE567"/>
    <w:rsid w:val="756978A0"/>
    <w:rsid w:val="757F1715"/>
    <w:rsid w:val="758BE74A"/>
    <w:rsid w:val="75A2A3BC"/>
    <w:rsid w:val="75AEF619"/>
    <w:rsid w:val="75B6A9FB"/>
    <w:rsid w:val="75CB3E9A"/>
    <w:rsid w:val="75D136C2"/>
    <w:rsid w:val="75EA6C58"/>
    <w:rsid w:val="75F70DB8"/>
    <w:rsid w:val="75FAECD8"/>
    <w:rsid w:val="760B6612"/>
    <w:rsid w:val="7610B5EA"/>
    <w:rsid w:val="762513D6"/>
    <w:rsid w:val="763FC0F9"/>
    <w:rsid w:val="76512306"/>
    <w:rsid w:val="765231BE"/>
    <w:rsid w:val="7658DA61"/>
    <w:rsid w:val="7660E800"/>
    <w:rsid w:val="76669729"/>
    <w:rsid w:val="76766BC4"/>
    <w:rsid w:val="76778AC2"/>
    <w:rsid w:val="768C3215"/>
    <w:rsid w:val="76A75474"/>
    <w:rsid w:val="76ADAD5D"/>
    <w:rsid w:val="76B35BE8"/>
    <w:rsid w:val="76B6C16E"/>
    <w:rsid w:val="76D44F64"/>
    <w:rsid w:val="76DEA3F8"/>
    <w:rsid w:val="76FB0F7B"/>
    <w:rsid w:val="770B6B2B"/>
    <w:rsid w:val="770E0FC3"/>
    <w:rsid w:val="771ABA6B"/>
    <w:rsid w:val="772AF036"/>
    <w:rsid w:val="773C3360"/>
    <w:rsid w:val="77770002"/>
    <w:rsid w:val="777A0C72"/>
    <w:rsid w:val="7786AB52"/>
    <w:rsid w:val="77923CF9"/>
    <w:rsid w:val="77CBE793"/>
    <w:rsid w:val="77CC46AA"/>
    <w:rsid w:val="77D7AE80"/>
    <w:rsid w:val="77F54695"/>
    <w:rsid w:val="7810A959"/>
    <w:rsid w:val="78118FB1"/>
    <w:rsid w:val="7814C9D2"/>
    <w:rsid w:val="783922A3"/>
    <w:rsid w:val="783E5839"/>
    <w:rsid w:val="7840FC0A"/>
    <w:rsid w:val="78444A50"/>
    <w:rsid w:val="7850835D"/>
    <w:rsid w:val="7861C502"/>
    <w:rsid w:val="7869FFED"/>
    <w:rsid w:val="786BD0DB"/>
    <w:rsid w:val="7877960D"/>
    <w:rsid w:val="787F7A71"/>
    <w:rsid w:val="78A425E0"/>
    <w:rsid w:val="78A9C26F"/>
    <w:rsid w:val="78ACFB71"/>
    <w:rsid w:val="78B211DC"/>
    <w:rsid w:val="78B8FB4D"/>
    <w:rsid w:val="78D32074"/>
    <w:rsid w:val="78DA2F54"/>
    <w:rsid w:val="78EB7AA4"/>
    <w:rsid w:val="78F26990"/>
    <w:rsid w:val="78F83890"/>
    <w:rsid w:val="792C8CED"/>
    <w:rsid w:val="79398DF6"/>
    <w:rsid w:val="793C829C"/>
    <w:rsid w:val="795D8FC6"/>
    <w:rsid w:val="79A54B0F"/>
    <w:rsid w:val="79AC00B4"/>
    <w:rsid w:val="79C66182"/>
    <w:rsid w:val="79D649A3"/>
    <w:rsid w:val="7A05D0D4"/>
    <w:rsid w:val="7A089BA1"/>
    <w:rsid w:val="7A128EAC"/>
    <w:rsid w:val="7A175DA5"/>
    <w:rsid w:val="7A19B63C"/>
    <w:rsid w:val="7A260CE3"/>
    <w:rsid w:val="7A27A082"/>
    <w:rsid w:val="7A37EF7D"/>
    <w:rsid w:val="7A538CFB"/>
    <w:rsid w:val="7A55EA72"/>
    <w:rsid w:val="7A571326"/>
    <w:rsid w:val="7A57F069"/>
    <w:rsid w:val="7A5E601C"/>
    <w:rsid w:val="7AA574EE"/>
    <w:rsid w:val="7B08C62B"/>
    <w:rsid w:val="7B20926F"/>
    <w:rsid w:val="7B394419"/>
    <w:rsid w:val="7B4D63F5"/>
    <w:rsid w:val="7B57F638"/>
    <w:rsid w:val="7B5CA16F"/>
    <w:rsid w:val="7B5F078A"/>
    <w:rsid w:val="7B68688D"/>
    <w:rsid w:val="7B75F080"/>
    <w:rsid w:val="7B8C2154"/>
    <w:rsid w:val="7BAAEABB"/>
    <w:rsid w:val="7BB97D78"/>
    <w:rsid w:val="7BC67D83"/>
    <w:rsid w:val="7BD8F38C"/>
    <w:rsid w:val="7BDCBE72"/>
    <w:rsid w:val="7BE54A9E"/>
    <w:rsid w:val="7BE93668"/>
    <w:rsid w:val="7C089FEB"/>
    <w:rsid w:val="7C0C2619"/>
    <w:rsid w:val="7C1F36E7"/>
    <w:rsid w:val="7C2B5822"/>
    <w:rsid w:val="7C3456EE"/>
    <w:rsid w:val="7C363F9B"/>
    <w:rsid w:val="7C3A93E1"/>
    <w:rsid w:val="7C4A1B74"/>
    <w:rsid w:val="7C5A1EBB"/>
    <w:rsid w:val="7C87D565"/>
    <w:rsid w:val="7C9AC919"/>
    <w:rsid w:val="7CB83EBE"/>
    <w:rsid w:val="7CCEF80F"/>
    <w:rsid w:val="7CD496F7"/>
    <w:rsid w:val="7D27B886"/>
    <w:rsid w:val="7D2BC872"/>
    <w:rsid w:val="7D312B82"/>
    <w:rsid w:val="7D427A9D"/>
    <w:rsid w:val="7D455F4E"/>
    <w:rsid w:val="7D616228"/>
    <w:rsid w:val="7D792F7F"/>
    <w:rsid w:val="7D7B4D46"/>
    <w:rsid w:val="7D7DB409"/>
    <w:rsid w:val="7D8470C9"/>
    <w:rsid w:val="7D8CC24D"/>
    <w:rsid w:val="7DAB598C"/>
    <w:rsid w:val="7DCAEE9C"/>
    <w:rsid w:val="7DFE134D"/>
    <w:rsid w:val="7DFE5A0B"/>
    <w:rsid w:val="7E01512F"/>
    <w:rsid w:val="7E023394"/>
    <w:rsid w:val="7E05005D"/>
    <w:rsid w:val="7E1DBB88"/>
    <w:rsid w:val="7E47C038"/>
    <w:rsid w:val="7E531F63"/>
    <w:rsid w:val="7E62D68A"/>
    <w:rsid w:val="7E73B357"/>
    <w:rsid w:val="7E7BA7F0"/>
    <w:rsid w:val="7E900D0F"/>
    <w:rsid w:val="7EA3F7D0"/>
    <w:rsid w:val="7EA56ADC"/>
    <w:rsid w:val="7EAC8B89"/>
    <w:rsid w:val="7EBC4568"/>
    <w:rsid w:val="7EBD3A91"/>
    <w:rsid w:val="7EBDAF54"/>
    <w:rsid w:val="7EBDB7ED"/>
    <w:rsid w:val="7ED0EF96"/>
    <w:rsid w:val="7EDC3B32"/>
    <w:rsid w:val="7EE0EEFE"/>
    <w:rsid w:val="7EEF467E"/>
    <w:rsid w:val="7F025880"/>
    <w:rsid w:val="7F2996AB"/>
    <w:rsid w:val="7F2D3069"/>
    <w:rsid w:val="7F363430"/>
    <w:rsid w:val="7F456396"/>
    <w:rsid w:val="7F4687A8"/>
    <w:rsid w:val="7F5083B0"/>
    <w:rsid w:val="7F51CEBE"/>
    <w:rsid w:val="7F59BD64"/>
    <w:rsid w:val="7F72F24C"/>
    <w:rsid w:val="7F75DD56"/>
    <w:rsid w:val="7F8821E6"/>
    <w:rsid w:val="7F88521E"/>
    <w:rsid w:val="7FA71E10"/>
    <w:rsid w:val="7FA735EA"/>
    <w:rsid w:val="7FB10849"/>
    <w:rsid w:val="7FBFC7FA"/>
    <w:rsid w:val="7FC0BA5D"/>
    <w:rsid w:val="7FCEA095"/>
    <w:rsid w:val="7FD9A153"/>
    <w:rsid w:val="7FE3C7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DAC0B"/>
  <w15:docId w15:val="{962A0760-3A1A-4FA6-B67D-A7FE79C8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eop">
    <w:name w:val="eop"/>
    <w:basedOn w:val="DefaultParagraphFont"/>
    <w:rsid w:val="67EBEA3B"/>
    <w:rPr>
      <w:rFonts w:asciiTheme="minorHAnsi" w:eastAsiaTheme="minorEastAsia" w:hAnsiTheme="minorHAnsi" w:cstheme="minorBidi"/>
      <w:sz w:val="24"/>
      <w:szCs w:val="24"/>
    </w:rPr>
  </w:style>
  <w:style w:type="paragraph" w:styleId="Header">
    <w:name w:val="header"/>
    <w:basedOn w:val="Normal"/>
    <w:link w:val="HeaderChar"/>
    <w:uiPriority w:val="99"/>
    <w:unhideWhenUsed/>
    <w:rsid w:val="6193A46A"/>
    <w:pPr>
      <w:tabs>
        <w:tab w:val="center" w:pos="4680"/>
        <w:tab w:val="right" w:pos="9360"/>
      </w:tabs>
      <w:spacing w:line="240" w:lineRule="auto"/>
    </w:pPr>
  </w:style>
  <w:style w:type="paragraph" w:styleId="Footer">
    <w:name w:val="footer"/>
    <w:basedOn w:val="Normal"/>
    <w:uiPriority w:val="99"/>
    <w:unhideWhenUsed/>
    <w:rsid w:val="6193A46A"/>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137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13777"/>
  </w:style>
  <w:style w:type="table" w:customStyle="1" w:styleId="TableGrid1">
    <w:name w:val="Table Grid1"/>
    <w:basedOn w:val="TableNormal"/>
    <w:next w:val="TableGrid"/>
    <w:uiPriority w:val="39"/>
    <w:rsid w:val="009642E0"/>
    <w:pPr>
      <w:spacing w:line="240" w:lineRule="auto"/>
    </w:pPr>
    <w:rPr>
      <w:rFonts w:ascii="Calibri" w:eastAsia="Calibri" w:hAnsi="Calibri"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42E0"/>
    <w:pPr>
      <w:spacing w:line="240" w:lineRule="auto"/>
    </w:pPr>
    <w:rPr>
      <w:rFonts w:ascii="Calibri" w:eastAsia="Calibri" w:hAnsi="Calibri"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42E0"/>
    <w:pPr>
      <w:spacing w:line="240" w:lineRule="auto"/>
    </w:pPr>
    <w:rPr>
      <w:rFonts w:ascii="Calibri" w:eastAsia="Calibri" w:hAnsi="Calibri"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42E0"/>
    <w:pPr>
      <w:spacing w:line="240" w:lineRule="auto"/>
    </w:pPr>
    <w:rPr>
      <w:rFonts w:ascii="Calibri" w:eastAsia="Calibri" w:hAnsi="Calibri"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F464C"/>
    <w:rPr>
      <w:b/>
      <w:bCs/>
    </w:rPr>
  </w:style>
  <w:style w:type="character" w:customStyle="1" w:styleId="CommentSubjectChar">
    <w:name w:val="Comment Subject Char"/>
    <w:basedOn w:val="CommentTextChar"/>
    <w:link w:val="CommentSubject"/>
    <w:uiPriority w:val="99"/>
    <w:semiHidden/>
    <w:rsid w:val="00EF464C"/>
    <w:rPr>
      <w:b/>
      <w:bCs/>
      <w:sz w:val="20"/>
      <w:szCs w:val="20"/>
    </w:rPr>
  </w:style>
  <w:style w:type="character" w:styleId="Hyperlink">
    <w:name w:val="Hyperlink"/>
    <w:basedOn w:val="DefaultParagraphFont"/>
    <w:uiPriority w:val="99"/>
    <w:unhideWhenUsed/>
    <w:rsid w:val="00343384"/>
    <w:rPr>
      <w:color w:val="0000FF" w:themeColor="hyperlink"/>
      <w:u w:val="single"/>
    </w:rPr>
  </w:style>
  <w:style w:type="character" w:styleId="UnresolvedMention">
    <w:name w:val="Unresolved Mention"/>
    <w:basedOn w:val="DefaultParagraphFont"/>
    <w:uiPriority w:val="99"/>
    <w:semiHidden/>
    <w:unhideWhenUsed/>
    <w:rsid w:val="00343384"/>
    <w:rPr>
      <w:color w:val="605E5C"/>
      <w:shd w:val="clear" w:color="auto" w:fill="E1DFDD"/>
    </w:rPr>
  </w:style>
  <w:style w:type="paragraph" w:styleId="ListParagraph">
    <w:name w:val="List Paragraph"/>
    <w:basedOn w:val="Normal"/>
    <w:uiPriority w:val="34"/>
    <w:qFormat/>
    <w:rsid w:val="619A24EA"/>
    <w:pPr>
      <w:ind w:left="720"/>
      <w:contextualSpacing/>
    </w:pPr>
  </w:style>
  <w:style w:type="character" w:customStyle="1" w:styleId="HeaderChar">
    <w:name w:val="Header Char"/>
    <w:basedOn w:val="DefaultParagraphFont"/>
    <w:link w:val="Header"/>
    <w:uiPriority w:val="99"/>
    <w:rsid w:val="00E1280F"/>
  </w:style>
  <w:style w:type="character" w:styleId="FollowedHyperlink">
    <w:name w:val="FollowedHyperlink"/>
    <w:basedOn w:val="DefaultParagraphFont"/>
    <w:uiPriority w:val="99"/>
    <w:semiHidden/>
    <w:unhideWhenUsed/>
    <w:rsid w:val="00B676CE"/>
    <w:rPr>
      <w:color w:val="800080" w:themeColor="followedHyperlink"/>
      <w:u w:val="single"/>
    </w:rPr>
  </w:style>
  <w:style w:type="character" w:styleId="PageNumber">
    <w:name w:val="page number"/>
    <w:basedOn w:val="DefaultParagraphFont"/>
    <w:uiPriority w:val="99"/>
    <w:semiHidden/>
    <w:unhideWhenUsed/>
    <w:rsid w:val="002704FC"/>
  </w:style>
  <w:style w:type="character" w:styleId="PlaceholderText">
    <w:name w:val="Placeholder Text"/>
    <w:basedOn w:val="DefaultParagraphFont"/>
    <w:uiPriority w:val="99"/>
    <w:semiHidden/>
    <w:rsid w:val="0320F0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pain.2020.04.004" TargetMode="External"/><Relationship Id="rId21" Type="http://schemas.openxmlformats.org/officeDocument/2006/relationships/hyperlink" Target="https://casp-uk.net/casp-tools-checklists/randomised-controlled-trial-rct-checklist/" TargetMode="External"/><Relationship Id="rId42" Type="http://schemas.openxmlformats.org/officeDocument/2006/relationships/hyperlink" Target="https://doi.org/10.1097/ALN.0000000000005550" TargetMode="Externa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jclinane.2024.111572" TargetMode="External"/><Relationship Id="rId29" Type="http://schemas.openxmlformats.org/officeDocument/2006/relationships/hyperlink" Target="https://doi.org/10.1097/aln.0000000000004663" TargetMode="External"/><Relationship Id="rId11" Type="http://schemas.openxmlformats.org/officeDocument/2006/relationships/footer" Target="footer2.xml"/><Relationship Id="rId24" Type="http://schemas.openxmlformats.org/officeDocument/2006/relationships/hyperlink" Target="https://doi.org/10.1177/0310057x231214551" TargetMode="External"/><Relationship Id="rId32" Type="http://schemas.openxmlformats.org/officeDocument/2006/relationships/hyperlink" Target="https://doi.org/10.1007/s40265-023-01876-7" TargetMode="External"/><Relationship Id="rId37" Type="http://schemas.openxmlformats.org/officeDocument/2006/relationships/hyperlink" Target="https://doi.org/10.1097/BSD.0000000000001726" TargetMode="External"/><Relationship Id="rId40" Type="http://schemas.openxmlformats.org/officeDocument/2006/relationships/hyperlink" Target="https://doi.org/10.1111/j.1365-2648.2005.03621.x" TargetMode="Externa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image" Target="media/image16.svg"/><Relationship Id="rId66" Type="http://schemas.openxmlformats.org/officeDocument/2006/relationships/image" Target="media/image24.svg"/><Relationship Id="rId5" Type="http://schemas.openxmlformats.org/officeDocument/2006/relationships/footnotes" Target="footnotes.xml"/><Relationship Id="rId61" Type="http://schemas.openxmlformats.org/officeDocument/2006/relationships/image" Target="media/image19.png"/><Relationship Id="rId19" Type="http://schemas.openxmlformats.org/officeDocument/2006/relationships/hyperlink" Target="https://casp-uk.net/casp-tools-checklists/systematic-reviews-meta-analysis-observational-studies/" TargetMode="External"/><Relationship Id="rId14" Type="http://schemas.openxmlformats.org/officeDocument/2006/relationships/hyperlink" Target="https://doi.org/10.52965/001c.129552" TargetMode="External"/><Relationship Id="rId22" Type="http://schemas.openxmlformats.org/officeDocument/2006/relationships/hyperlink" Target="https://doi.org/10.1213/ANE.0000000000006331" TargetMode="External"/><Relationship Id="rId27" Type="http://schemas.openxmlformats.org/officeDocument/2006/relationships/hyperlink" Target="https://doi.org/10.1155/2020/6974321" TargetMode="External"/><Relationship Id="rId30" Type="http://schemas.openxmlformats.org/officeDocument/2006/relationships/hyperlink" Target="https://doi.org/10.1016/j.jopan.2025.03.007" TargetMode="External"/><Relationship Id="rId35" Type="http://schemas.openxmlformats.org/officeDocument/2006/relationships/hyperlink" Target="https://doi.org/10.1111/anae.15173" TargetMode="External"/><Relationship Id="rId43" Type="http://schemas.openxmlformats.org/officeDocument/2006/relationships/image" Target="media/image1.png"/><Relationship Id="rId48" Type="http://schemas.openxmlformats.org/officeDocument/2006/relationships/image" Target="media/image6.svg"/><Relationship Id="rId56" Type="http://schemas.openxmlformats.org/officeDocument/2006/relationships/image" Target="media/image14.svg"/><Relationship Id="rId64" Type="http://schemas.openxmlformats.org/officeDocument/2006/relationships/image" Target="media/image22.svg"/><Relationship Id="rId69" Type="http://schemas.microsoft.com/office/2020/10/relationships/intelligence" Target="intelligence2.xml"/><Relationship Id="rId8" Type="http://schemas.openxmlformats.org/officeDocument/2006/relationships/header" Target="header2.xm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hyperlink" Target="https://doi.org/10.5867/medwave.2021.02.8134" TargetMode="External"/><Relationship Id="rId17" Type="http://schemas.openxmlformats.org/officeDocument/2006/relationships/hyperlink" Target="https://doi.org/10.1097/j.pain.0000000000002296" TargetMode="External"/><Relationship Id="rId25" Type="http://schemas.openxmlformats.org/officeDocument/2006/relationships/hyperlink" Target="https://doi.org/10.1016/j.jpain.2020.04.004" TargetMode="External"/><Relationship Id="rId33" Type="http://schemas.openxmlformats.org/officeDocument/2006/relationships/hyperlink" Target="https://doi.org/10.1097/aln.0000000000003743" TargetMode="External"/><Relationship Id="rId38" Type="http://schemas.openxmlformats.org/officeDocument/2006/relationships/hyperlink" Target="https://doi.org/10.1097/BSD.0000000000001726" TargetMode="External"/><Relationship Id="rId46" Type="http://schemas.openxmlformats.org/officeDocument/2006/relationships/image" Target="media/image4.svg"/><Relationship Id="rId59" Type="http://schemas.openxmlformats.org/officeDocument/2006/relationships/image" Target="media/image17.png"/><Relationship Id="rId67" Type="http://schemas.openxmlformats.org/officeDocument/2006/relationships/fontTable" Target="fontTable.xml"/><Relationship Id="rId20" Type="http://schemas.openxmlformats.org/officeDocument/2006/relationships/hyperlink" Target="https://casp-uk.net/casp-tools-checklists/systematic-reviews-meta-analysis-rcts/" TargetMode="External"/><Relationship Id="rId41" Type="http://schemas.openxmlformats.org/officeDocument/2006/relationships/hyperlink" Target="https://doi.org/10.1111/j.1365-2648.2005.03621.x" TargetMode="External"/><Relationship Id="rId54" Type="http://schemas.openxmlformats.org/officeDocument/2006/relationships/image" Target="media/image12.svg"/><Relationship Id="rId62" Type="http://schemas.openxmlformats.org/officeDocument/2006/relationships/image" Target="media/image20.sv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2965/001c.129552" TargetMode="External"/><Relationship Id="rId23" Type="http://schemas.openxmlformats.org/officeDocument/2006/relationships/hyperlink" Target="https://doi.org/10.1177/0310057x231214551" TargetMode="External"/><Relationship Id="rId28" Type="http://schemas.openxmlformats.org/officeDocument/2006/relationships/hyperlink" Target="https://doi.org/10.1097/aln.0000000000004663" TargetMode="External"/><Relationship Id="rId36" Type="http://schemas.openxmlformats.org/officeDocument/2006/relationships/hyperlink" Target="https://doi.org/10.1111/anae.15173" TargetMode="Externa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header" Target="header3.xml"/><Relationship Id="rId31" Type="http://schemas.openxmlformats.org/officeDocument/2006/relationships/hyperlink" Target="https://doi.org/10.1093/pm/pnab269" TargetMode="External"/><Relationship Id="rId44" Type="http://schemas.openxmlformats.org/officeDocument/2006/relationships/image" Target="media/image2.svg"/><Relationship Id="rId52" Type="http://schemas.openxmlformats.org/officeDocument/2006/relationships/image" Target="media/image10.svg"/><Relationship Id="rId60" Type="http://schemas.openxmlformats.org/officeDocument/2006/relationships/image" Target="media/image18.svg"/><Relationship Id="rId65"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doi.org/10.1097/SAP.0000000000003534" TargetMode="External"/><Relationship Id="rId18" Type="http://schemas.openxmlformats.org/officeDocument/2006/relationships/hyperlink" Target="https://casp-uk.net/casp-tools-checklists/cohort-study-checklist/" TargetMode="External"/><Relationship Id="rId39" Type="http://schemas.openxmlformats.org/officeDocument/2006/relationships/hyperlink" Target="https://doi.org/10.1097/BRS.0000000000005477" TargetMode="External"/><Relationship Id="rId34" Type="http://schemas.openxmlformats.org/officeDocument/2006/relationships/hyperlink" Target="https://doi.org/10.1097/ALN.0000000000004681" TargetMode="External"/><Relationship Id="rId50" Type="http://schemas.openxmlformats.org/officeDocument/2006/relationships/image" Target="media/image8.svg"/><Relationship Id="rId55"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10925</Words>
  <Characters>62274</Characters>
  <Application>Microsoft Office Word</Application>
  <DocSecurity>0</DocSecurity>
  <Lines>518</Lines>
  <Paragraphs>146</Paragraphs>
  <ScaleCrop>false</ScaleCrop>
  <Company/>
  <LinksUpToDate>false</LinksUpToDate>
  <CharactersWithSpaces>73053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Bennett</cp:lastModifiedBy>
  <cp:revision>2</cp:revision>
  <dcterms:created xsi:type="dcterms:W3CDTF">2026-04-17T14:58:00Z</dcterms:created>
  <dcterms:modified xsi:type="dcterms:W3CDTF">2026-04-17T14:58:00Z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4e7f6037-fb62-45c3-a255-fdf5254f1eb2</vt:lpwstr>
  </property>
  <property fmtid="{D5CDD505-2E9C-101B-9397-08002B2CF9AE}" pid="3" name="TII_WORD_DOCUMENT_FILENAME">
    <vt:lpwstr>DNP Manuscript.docx</vt:lpwstr>
  </property>
  <property fmtid="{D5CDD505-2E9C-101B-9397-08002B2CF9AE}" pid="4" name="TII_WORD_DOCUMENT_ID">
    <vt:lpwstr>eda16fca-fbbc-4242-aad7-e193f3983584</vt:lpwstr>
  </property>
</Properties>
</file>